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hint="eastAsia"/>
          <w:sz w:val="60"/>
          <w:szCs w:val="60"/>
        </w:rPr>
      </w:pPr>
      <w:r>
        <w:rPr>
          <w:rFonts w:hint="eastAsia"/>
          <w:sz w:val="60"/>
          <w:szCs w:val="60"/>
        </w:rPr>
      </w:r>
      <w:r/>
    </w:p>
    <w:p>
      <w:pPr>
        <w:jc w:val="center"/>
        <w:rPr>
          <w:rFonts w:hint="eastAsia"/>
          <w:b/>
          <w:bCs/>
          <w:sz w:val="60"/>
          <w:szCs w:val="60"/>
        </w:rPr>
      </w:pPr>
      <w:r>
        <w:rPr>
          <w:rFonts w:hint="eastAsia"/>
          <w:b/>
          <w:bCs/>
          <w:sz w:val="60"/>
          <w:szCs w:val="60"/>
        </w:rPr>
      </w:r>
      <w:r/>
    </w:p>
    <w:p>
      <w:pPr>
        <w:pStyle w:val="907"/>
        <w:rPr>
          <w:rFonts w:hint="eastAsia" w:ascii="宋体" w:hAnsi="宋体"/>
          <w:color w:val="auto"/>
        </w:rPr>
      </w:pPr>
      <w:r>
        <w:rPr>
          <w:rFonts w:hint="eastAsia" w:ascii="宋体" w:hAnsi="宋体"/>
          <w:color w:val="auto"/>
        </w:rPr>
      </w:r>
      <w:r/>
    </w:p>
    <w:p>
      <w:pPr>
        <w:pStyle w:val="907"/>
        <w:rPr>
          <w:rFonts w:hint="eastAsia" w:ascii="宋体" w:hAnsi="宋体"/>
          <w:color w:val="auto"/>
        </w:rPr>
      </w:pPr>
      <w:r>
        <w:rPr>
          <w:rFonts w:hint="eastAsia" w:ascii="宋体" w:hAnsi="宋体"/>
          <w:color w:val="auto"/>
        </w:rPr>
      </w:r>
      <w:r/>
    </w:p>
    <w:p>
      <w:pPr>
        <w:pStyle w:val="907"/>
        <w:rPr>
          <w:rFonts w:hint="eastAsia" w:ascii="宋体" w:hAnsi="宋体"/>
          <w:color w:val="auto"/>
        </w:rPr>
      </w:pPr>
      <w:r>
        <w:rPr>
          <w:rFonts w:hint="eastAsia" w:ascii="宋体" w:hAnsi="宋体"/>
          <w:color w:val="auto"/>
        </w:rPr>
      </w:r>
      <w:r/>
    </w:p>
    <w:p>
      <w:pPr>
        <w:jc w:val="center"/>
        <w:rPr>
          <w:rFonts w:hint="eastAsia"/>
          <w:b/>
          <w:bCs/>
          <w:sz w:val="60"/>
          <w:szCs w:val="60"/>
        </w:rPr>
      </w:pPr>
      <w:r>
        <w:rPr>
          <w:rFonts w:hint="eastAsia"/>
          <w:b/>
          <w:bCs/>
          <w:sz w:val="60"/>
          <w:szCs w:val="60"/>
        </w:rPr>
        <w:t xml:space="preserve">公</w:t>
      </w:r>
      <w:r>
        <w:rPr>
          <w:rFonts w:hint="eastAsia"/>
          <w:b/>
          <w:bCs/>
          <w:sz w:val="60"/>
          <w:szCs w:val="60"/>
        </w:rPr>
        <w:t xml:space="preserve"> </w:t>
      </w:r>
      <w:r>
        <w:rPr>
          <w:rFonts w:hint="eastAsia"/>
          <w:b/>
          <w:bCs/>
          <w:sz w:val="60"/>
          <w:szCs w:val="60"/>
        </w:rPr>
        <w:t xml:space="preserve">开</w:t>
      </w:r>
      <w:r>
        <w:rPr>
          <w:rFonts w:hint="eastAsia"/>
          <w:b/>
          <w:bCs/>
          <w:sz w:val="60"/>
          <w:szCs w:val="60"/>
        </w:rPr>
        <w:t xml:space="preserve"> </w:t>
      </w:r>
      <w:r>
        <w:rPr>
          <w:b/>
          <w:bCs/>
          <w:sz w:val="60"/>
          <w:szCs w:val="60"/>
        </w:rPr>
        <w:t xml:space="preserve">招</w:t>
      </w:r>
      <w:r>
        <w:rPr>
          <w:rFonts w:hint="eastAsia"/>
          <w:b/>
          <w:bCs/>
          <w:sz w:val="60"/>
          <w:szCs w:val="60"/>
        </w:rPr>
        <w:t xml:space="preserve"> </w:t>
      </w:r>
      <w:r>
        <w:rPr>
          <w:b/>
          <w:bCs/>
          <w:sz w:val="60"/>
          <w:szCs w:val="60"/>
        </w:rPr>
        <w:t xml:space="preserve">标</w:t>
      </w:r>
      <w:r>
        <w:rPr>
          <w:rFonts w:hint="eastAsia"/>
          <w:b/>
          <w:bCs/>
          <w:sz w:val="60"/>
          <w:szCs w:val="60"/>
        </w:rPr>
        <w:t xml:space="preserve"> </w:t>
      </w:r>
      <w:r>
        <w:rPr>
          <w:b/>
          <w:bCs/>
          <w:sz w:val="60"/>
          <w:szCs w:val="60"/>
        </w:rPr>
        <w:t xml:space="preserve">文</w:t>
      </w:r>
      <w:r>
        <w:rPr>
          <w:rFonts w:hint="eastAsia"/>
          <w:b/>
          <w:bCs/>
          <w:sz w:val="60"/>
          <w:szCs w:val="60"/>
        </w:rPr>
        <w:t xml:space="preserve"> </w:t>
      </w:r>
      <w:r>
        <w:rPr>
          <w:b/>
          <w:bCs/>
          <w:sz w:val="60"/>
          <w:szCs w:val="60"/>
        </w:rPr>
        <w:t xml:space="preserve">件</w:t>
      </w:r>
      <w:r/>
    </w:p>
    <w:p>
      <w:pPr>
        <w:jc w:val="center"/>
        <w:rPr>
          <w:rFonts w:hint="eastAsia"/>
          <w:b/>
          <w:bCs/>
          <w:sz w:val="60"/>
          <w:szCs w:val="60"/>
        </w:rPr>
      </w:pPr>
      <w:r>
        <w:rPr>
          <w:rFonts w:hint="eastAsia"/>
          <w:b/>
          <w:bCs/>
          <w:sz w:val="60"/>
          <w:szCs w:val="60"/>
        </w:rPr>
      </w:r>
      <w:r/>
    </w:p>
    <w:p>
      <w:pPr>
        <w:jc w:val="center"/>
        <w:rPr>
          <w:rFonts w:hint="eastAsia"/>
          <w:b/>
          <w:bCs/>
          <w:sz w:val="60"/>
          <w:szCs w:val="60"/>
        </w:rPr>
      </w:pPr>
      <w:r>
        <w:rPr>
          <w:rFonts w:hint="eastAsia"/>
          <w:b/>
          <w:bCs/>
          <w:sz w:val="60"/>
          <w:szCs w:val="60"/>
        </w:rPr>
      </w:r>
      <w:r/>
    </w:p>
    <w:p>
      <w:pPr>
        <w:jc w:val="center"/>
        <w:rPr>
          <w:rFonts w:hint="eastAsia"/>
          <w:b/>
          <w:bCs/>
          <w:sz w:val="60"/>
          <w:szCs w:val="60"/>
        </w:rPr>
      </w:pPr>
      <w:r>
        <w:rPr>
          <w:rFonts w:hint="eastAsia"/>
          <w:b/>
          <w:bCs/>
          <w:sz w:val="60"/>
          <w:szCs w:val="60"/>
        </w:rPr>
      </w:r>
      <w:r/>
    </w:p>
    <w:p>
      <w:pPr>
        <w:pStyle w:val="907"/>
        <w:rPr>
          <w:rFonts w:hint="eastAsia" w:ascii="宋体" w:hAnsi="宋体"/>
          <w:color w:val="auto"/>
        </w:rPr>
      </w:pPr>
      <w:r>
        <w:rPr>
          <w:rFonts w:hint="eastAsia" w:ascii="宋体" w:hAnsi="宋体"/>
          <w:color w:val="auto"/>
        </w:rPr>
      </w:r>
      <w:r/>
    </w:p>
    <w:p>
      <w:pPr>
        <w:pStyle w:val="907"/>
        <w:rPr>
          <w:rFonts w:hint="eastAsia" w:ascii="宋体" w:hAnsi="宋体"/>
          <w:color w:val="auto"/>
        </w:rPr>
      </w:pPr>
      <w:r>
        <w:rPr>
          <w:rFonts w:hint="eastAsia" w:ascii="宋体" w:hAnsi="宋体"/>
          <w:color w:val="auto"/>
        </w:rPr>
      </w:r>
      <w:r/>
    </w:p>
    <w:p>
      <w:pPr>
        <w:pStyle w:val="907"/>
        <w:rPr>
          <w:rFonts w:hint="eastAsia" w:ascii="宋体" w:hAnsi="宋体"/>
          <w:color w:val="auto"/>
        </w:rPr>
      </w:pPr>
      <w:r>
        <w:rPr>
          <w:rFonts w:hint="eastAsia" w:ascii="宋体" w:hAnsi="宋体"/>
          <w:color w:val="auto"/>
        </w:rPr>
      </w:r>
      <w:r/>
    </w:p>
    <w:p>
      <w:pPr>
        <w:ind w:left="2967" w:hanging="1901"/>
        <w:spacing w:line="360" w:lineRule="auto"/>
        <w:tabs>
          <w:tab w:val="left" w:pos="3240" w:leader="none"/>
          <w:tab w:val="left" w:pos="3420" w:leader="none"/>
        </w:tabs>
        <w:rPr>
          <w:rFonts w:hint="eastAsia"/>
          <w:bCs/>
          <w:sz w:val="36"/>
          <w:szCs w:val="36"/>
        </w:rPr>
      </w:pPr>
      <w:r>
        <w:rPr>
          <w:bCs/>
          <w:sz w:val="36"/>
          <w:szCs w:val="36"/>
        </w:rPr>
        <w:t xml:space="preserve">项目名称：</w:t>
      </w:r>
      <w:bookmarkStart w:id="0" w:name="OLE_LINK34"/>
      <w:r>
        <w:rPr>
          <w:rFonts w:hint="eastAsia"/>
          <w:bCs/>
          <w:sz w:val="36"/>
          <w:szCs w:val="36"/>
        </w:rPr>
        <w:t xml:space="preserve">江苏理工学院武进绿建区协同创新园新建工程二期项目9号楼、33号楼厨房设备采购</w:t>
      </w:r>
      <w:bookmarkEnd w:id="0"/>
      <w:r/>
      <w:r/>
    </w:p>
    <w:p>
      <w:pPr>
        <w:ind w:left="2967" w:hanging="1901"/>
        <w:spacing w:line="360" w:lineRule="auto"/>
        <w:tabs>
          <w:tab w:val="left" w:pos="3240" w:leader="none"/>
          <w:tab w:val="left" w:pos="3420" w:leader="none"/>
        </w:tabs>
        <w:rPr>
          <w:rFonts w:hint="eastAsia"/>
          <w:bCs/>
          <w:sz w:val="36"/>
          <w:szCs w:val="36"/>
        </w:rPr>
      </w:pPr>
      <w:r>
        <w:rPr>
          <w:bCs/>
          <w:sz w:val="36"/>
          <w:szCs w:val="36"/>
        </w:rPr>
        <w:t xml:space="preserve">项目编号：</w:t>
      </w:r>
      <w:r>
        <w:rPr>
          <w:rFonts w:hint="eastAsia"/>
          <w:bCs/>
          <w:sz w:val="36"/>
          <w:szCs w:val="36"/>
        </w:rPr>
        <w:t xml:space="preserve">JSZC-320412-XYCX-G2026-0002</w:t>
      </w:r>
      <w:r/>
    </w:p>
    <w:p>
      <w:pPr>
        <w:ind w:left="2967" w:hanging="1901"/>
        <w:spacing w:line="360" w:lineRule="auto"/>
        <w:tabs>
          <w:tab w:val="left" w:pos="3240" w:leader="none"/>
          <w:tab w:val="left" w:pos="3420" w:leader="none"/>
        </w:tabs>
        <w:rPr>
          <w:rFonts w:hint="eastAsia"/>
          <w:bCs/>
          <w:sz w:val="36"/>
          <w:szCs w:val="36"/>
        </w:rPr>
      </w:pPr>
      <w:r>
        <w:rPr>
          <w:bCs/>
          <w:sz w:val="36"/>
          <w:szCs w:val="36"/>
        </w:rPr>
        <w:t xml:space="preserve">采 购 人：</w:t>
      </w:r>
      <w:r>
        <w:rPr>
          <w:rFonts w:hint="eastAsia"/>
          <w:bCs/>
          <w:sz w:val="36"/>
          <w:szCs w:val="36"/>
        </w:rPr>
        <w:t xml:space="preserve">常州市武进绿色建筑产业集聚示范区管理委员会</w:t>
      </w:r>
      <w:r/>
    </w:p>
    <w:p>
      <w:pPr>
        <w:ind w:left="2967" w:hanging="1901"/>
        <w:spacing w:line="360" w:lineRule="auto"/>
        <w:tabs>
          <w:tab w:val="left" w:pos="3240" w:leader="none"/>
          <w:tab w:val="left" w:pos="3420" w:leader="none"/>
        </w:tabs>
        <w:rPr>
          <w:rFonts w:hint="eastAsia"/>
          <w:bCs/>
          <w:sz w:val="36"/>
          <w:szCs w:val="36"/>
        </w:rPr>
      </w:pPr>
      <w:r>
        <w:rPr>
          <w:rFonts w:hint="eastAsia"/>
          <w:bCs/>
          <w:sz w:val="36"/>
          <w:szCs w:val="36"/>
        </w:rPr>
        <w:t xml:space="preserve">采购</w:t>
      </w:r>
      <w:r>
        <w:rPr>
          <w:bCs/>
          <w:sz w:val="36"/>
          <w:szCs w:val="36"/>
        </w:rPr>
        <w:t xml:space="preserve">代理机构：</w:t>
      </w:r>
      <w:r>
        <w:rPr>
          <w:rFonts w:hint="eastAsia"/>
          <w:bCs/>
          <w:sz w:val="36"/>
          <w:szCs w:val="36"/>
        </w:rPr>
        <w:t xml:space="preserve">常州新一诚项目管理有限公司</w:t>
      </w:r>
      <w:r>
        <w:rPr>
          <w:bCs/>
          <w:sz w:val="36"/>
          <w:szCs w:val="36"/>
        </w:rPr>
        <w:t xml:space="preserve"> </w:t>
      </w:r>
      <w:r/>
    </w:p>
    <w:p>
      <w:pPr>
        <w:pStyle w:val="907"/>
        <w:jc w:val="center"/>
        <w:rPr>
          <w:rFonts w:hint="eastAsia" w:ascii="宋体" w:hAnsi="宋体" w:cs="Times New Roman"/>
          <w:bCs/>
          <w:color w:val="auto"/>
          <w:sz w:val="36"/>
          <w:szCs w:val="36"/>
        </w:rPr>
      </w:pPr>
      <w:r>
        <w:rPr>
          <w:rFonts w:hint="eastAsia" w:ascii="宋体" w:hAnsi="宋体" w:cs="Times New Roman"/>
          <w:bCs/>
          <w:color w:val="auto"/>
          <w:sz w:val="36"/>
          <w:szCs w:val="36"/>
        </w:rPr>
      </w:r>
      <w:r/>
    </w:p>
    <w:p>
      <w:pPr>
        <w:pStyle w:val="907"/>
        <w:jc w:val="center"/>
        <w:rPr>
          <w:rFonts w:hint="eastAsia" w:ascii="宋体" w:hAnsi="宋体" w:cs="Times New Roman"/>
          <w:bCs/>
          <w:color w:val="auto"/>
          <w:sz w:val="36"/>
          <w:szCs w:val="36"/>
        </w:rPr>
      </w:pPr>
      <w:r>
        <w:rPr>
          <w:rFonts w:hint="eastAsia" w:ascii="宋体" w:hAnsi="宋体" w:cs="Times New Roman"/>
          <w:bCs/>
          <w:color w:val="auto"/>
          <w:sz w:val="36"/>
          <w:szCs w:val="36"/>
        </w:rPr>
        <w:t xml:space="preserve">2</w:t>
      </w:r>
      <w:r>
        <w:rPr>
          <w:rFonts w:ascii="宋体" w:hAnsi="宋体" w:cs="Times New Roman"/>
          <w:bCs/>
          <w:color w:val="auto"/>
          <w:sz w:val="36"/>
          <w:szCs w:val="36"/>
        </w:rPr>
        <w:t xml:space="preserve">02</w:t>
      </w:r>
      <w:r>
        <w:rPr>
          <w:rFonts w:hint="eastAsia" w:ascii="宋体" w:hAnsi="宋体" w:cs="Times New Roman"/>
          <w:bCs/>
          <w:color w:val="auto"/>
          <w:sz w:val="36"/>
          <w:szCs w:val="36"/>
        </w:rPr>
        <w:t xml:space="preserve">6</w:t>
      </w:r>
      <w:r>
        <w:rPr>
          <w:rFonts w:hint="eastAsia" w:ascii="宋体" w:hAnsi="宋体" w:cs="Times New Roman"/>
          <w:bCs/>
          <w:color w:val="auto"/>
          <w:sz w:val="36"/>
          <w:szCs w:val="36"/>
        </w:rPr>
        <w:t xml:space="preserve">年</w:t>
      </w:r>
      <w:r>
        <w:rPr>
          <w:rFonts w:hint="eastAsia" w:ascii="宋体" w:hAnsi="宋体" w:cs="Times New Roman"/>
          <w:bCs/>
          <w:color w:val="auto"/>
          <w:sz w:val="36"/>
          <w:szCs w:val="36"/>
        </w:rPr>
        <w:t xml:space="preserve">1</w:t>
      </w:r>
      <w:r>
        <w:rPr>
          <w:rFonts w:hint="eastAsia" w:ascii="宋体" w:hAnsi="宋体" w:cs="Times New Roman"/>
          <w:bCs/>
          <w:color w:val="auto"/>
          <w:sz w:val="36"/>
          <w:szCs w:val="36"/>
        </w:rPr>
        <w:t xml:space="preserve">月</w:t>
      </w:r>
      <w:r/>
    </w:p>
    <w:p>
      <w:pPr>
        <w:pStyle w:val="907"/>
        <w:jc w:val="center"/>
        <w:rPr>
          <w:rFonts w:hint="eastAsia" w:ascii="宋体" w:hAnsi="宋体" w:cs="Times New Roman"/>
          <w:bCs/>
          <w:color w:val="auto"/>
          <w:sz w:val="36"/>
          <w:szCs w:val="36"/>
        </w:rPr>
      </w:pPr>
      <w:r>
        <w:rPr>
          <w:rFonts w:hint="eastAsia" w:ascii="宋体" w:hAnsi="宋体" w:cs="Times New Roman"/>
          <w:bCs/>
          <w:color w:val="auto"/>
          <w:sz w:val="36"/>
          <w:szCs w:val="36"/>
        </w:rPr>
      </w:r>
      <w:r/>
    </w:p>
    <w:p>
      <w:pPr>
        <w:pStyle w:val="907"/>
        <w:jc w:val="center"/>
        <w:rPr>
          <w:rFonts w:hint="eastAsia" w:ascii="宋体" w:hAnsi="宋体" w:cs="Times New Roman"/>
          <w:bCs/>
          <w:color w:val="auto"/>
          <w:sz w:val="36"/>
          <w:szCs w:val="36"/>
        </w:rPr>
      </w:pPr>
      <w:r>
        <w:rPr>
          <w:rFonts w:hint="eastAsia" w:ascii="宋体" w:hAnsi="宋体" w:cs="Times New Roman"/>
          <w:bCs/>
          <w:color w:val="auto"/>
          <w:sz w:val="36"/>
          <w:szCs w:val="36"/>
        </w:rPr>
      </w:r>
      <w:r/>
    </w:p>
    <w:p>
      <w:pPr>
        <w:pStyle w:val="907"/>
        <w:jc w:val="center"/>
        <w:rPr>
          <w:rFonts w:hint="eastAsia" w:ascii="宋体" w:hAnsi="宋体" w:cs="Times New Roman"/>
          <w:bCs/>
          <w:color w:val="auto"/>
          <w:sz w:val="36"/>
          <w:szCs w:val="36"/>
        </w:rPr>
      </w:pPr>
      <w:r>
        <w:rPr>
          <w:rFonts w:hint="eastAsia" w:ascii="宋体" w:hAnsi="宋体" w:cs="Times New Roman"/>
          <w:bCs/>
          <w:color w:val="auto"/>
          <w:sz w:val="36"/>
          <w:szCs w:val="36"/>
        </w:rPr>
      </w:r>
      <w:r/>
    </w:p>
    <w:p>
      <w:pPr>
        <w:pStyle w:val="907"/>
        <w:jc w:val="center"/>
        <w:rPr>
          <w:rFonts w:hint="eastAsia" w:ascii="宋体" w:hAnsi="宋体" w:cs="Times New Roman"/>
          <w:bCs/>
          <w:color w:val="auto"/>
          <w:sz w:val="36"/>
          <w:szCs w:val="36"/>
        </w:rPr>
      </w:pPr>
      <w:r>
        <w:rPr>
          <w:rFonts w:hint="eastAsia" w:ascii="宋体" w:hAnsi="宋体" w:cs="Times New Roman"/>
          <w:bCs/>
          <w:color w:val="auto"/>
          <w:sz w:val="36"/>
          <w:szCs w:val="36"/>
        </w:rPr>
      </w:r>
      <w:r/>
    </w:p>
    <w:p>
      <w:pPr>
        <w:pStyle w:val="907"/>
        <w:jc w:val="center"/>
        <w:rPr>
          <w:rFonts w:hint="eastAsia" w:ascii="宋体" w:hAnsi="宋体" w:cs="Times New Roman"/>
          <w:b/>
          <w:color w:val="auto"/>
          <w:sz w:val="36"/>
          <w:szCs w:val="36"/>
        </w:rPr>
      </w:pPr>
      <w:r>
        <w:rPr>
          <w:rFonts w:hint="eastAsia" w:ascii="宋体" w:hAnsi="宋体" w:cs="Times New Roman"/>
          <w:b/>
          <w:color w:val="auto"/>
          <w:sz w:val="36"/>
          <w:szCs w:val="36"/>
        </w:rPr>
        <w:t xml:space="preserve">目录</w:t>
      </w:r>
      <w:r/>
    </w:p>
    <w:p>
      <w:pPr>
        <w:pStyle w:val="907"/>
        <w:jc w:val="center"/>
        <w:rPr>
          <w:rFonts w:hint="eastAsia" w:ascii="宋体" w:hAnsi="宋体" w:cs="Times New Roman"/>
          <w:bCs/>
          <w:color w:val="auto"/>
          <w:sz w:val="36"/>
          <w:szCs w:val="36"/>
        </w:rPr>
      </w:pPr>
      <w:r>
        <w:rPr>
          <w:rFonts w:hint="eastAsia" w:ascii="宋体" w:hAnsi="宋体" w:cs="Times New Roman"/>
          <w:bCs/>
          <w:color w:val="auto"/>
          <w:sz w:val="36"/>
          <w:szCs w:val="36"/>
        </w:rPr>
      </w:r>
      <w:r/>
    </w:p>
    <w:p>
      <w:pPr>
        <w:pStyle w:val="1155"/>
        <w:spacing w:line="480" w:lineRule="auto"/>
        <w:tabs>
          <w:tab w:val="right" w:pos="9062" w:leader="dot"/>
        </w:tabs>
        <w:rPr>
          <w:rFonts w:hint="eastAsia" w:ascii="宋体" w:hAnsi="宋体" w:cstheme="minorBidi"/>
          <w:sz w:val="28"/>
          <w:szCs w:val="32"/>
          <w14:ligatures w14:val="standardContextual"/>
        </w:rPr>
      </w:pPr>
      <w:r>
        <w:rPr>
          <w:rFonts w:ascii="宋体" w:hAnsi="宋体"/>
        </w:rPr>
        <w:fldChar w:fldCharType="begin"/>
      </w:r>
      <w:r>
        <w:rPr>
          <w:rFonts w:ascii="宋体" w:hAnsi="宋体"/>
        </w:rPr>
        <w:instrText xml:space="preserve"> TOC \o "1-3" \h \z \u </w:instrText>
      </w:r>
      <w:r>
        <w:rPr>
          <w:rFonts w:ascii="宋体" w:hAnsi="宋体"/>
        </w:rPr>
        <w:fldChar w:fldCharType="separate"/>
      </w:r>
      <w:hyperlink w:tooltip="#_Toc197636598" w:anchor="_Toc197636598" w:history="1">
        <w:r>
          <w:rPr>
            <w:rStyle w:val="973"/>
            <w:rFonts w:hint="eastAsia" w:ascii="宋体" w:hAnsi="宋体"/>
            <w:b/>
            <w:color w:val="auto"/>
            <w:sz w:val="24"/>
            <w:szCs w:val="32"/>
          </w:rPr>
          <w:t xml:space="preserve">第一章   投标邀请</w:t>
        </w:r>
        <w:r>
          <w:rPr>
            <w:rFonts w:hint="eastAsia" w:ascii="宋体" w:hAnsi="宋体"/>
            <w:sz w:val="24"/>
            <w:szCs w:val="32"/>
          </w:rPr>
          <w:tab/>
        </w:r>
        <w:r>
          <w:rPr>
            <w:rFonts w:hint="eastAsia" w:ascii="宋体" w:hAnsi="宋体"/>
            <w:sz w:val="24"/>
            <w:szCs w:val="32"/>
          </w:rPr>
          <w:fldChar w:fldCharType="begin"/>
        </w:r>
        <w:r>
          <w:rPr>
            <w:rFonts w:hint="eastAsia" w:ascii="宋体" w:hAnsi="宋体"/>
            <w:sz w:val="24"/>
            <w:szCs w:val="32"/>
          </w:rPr>
          <w:instrText xml:space="preserve"> </w:instrText>
        </w:r>
        <w:r>
          <w:rPr>
            <w:rFonts w:ascii="宋体" w:hAnsi="宋体"/>
            <w:sz w:val="24"/>
            <w:szCs w:val="32"/>
          </w:rPr>
          <w:instrText xml:space="preserve">PAGEREF _Toc197636598 \h</w:instrText>
        </w:r>
        <w:r>
          <w:rPr>
            <w:rFonts w:hint="eastAsia" w:ascii="宋体" w:hAnsi="宋体"/>
            <w:sz w:val="24"/>
            <w:szCs w:val="32"/>
          </w:rPr>
          <w:instrText xml:space="preserve"> </w:instrText>
        </w:r>
        <w:r>
          <w:rPr>
            <w:rFonts w:hint="eastAsia" w:ascii="宋体" w:hAnsi="宋体"/>
            <w:sz w:val="24"/>
            <w:szCs w:val="32"/>
          </w:rPr>
        </w:r>
        <w:r>
          <w:rPr>
            <w:rFonts w:hint="eastAsia" w:ascii="宋体" w:hAnsi="宋体"/>
            <w:sz w:val="24"/>
            <w:szCs w:val="32"/>
          </w:rPr>
          <w:fldChar w:fldCharType="separate"/>
        </w:r>
        <w:r>
          <w:rPr>
            <w:rFonts w:hint="eastAsia" w:ascii="宋体" w:hAnsi="宋体"/>
            <w:sz w:val="24"/>
            <w:szCs w:val="32"/>
          </w:rPr>
          <w:t xml:space="preserve">1</w:t>
        </w:r>
        <w:r>
          <w:rPr>
            <w:rFonts w:hint="eastAsia" w:ascii="宋体" w:hAnsi="宋体"/>
            <w:sz w:val="24"/>
            <w:szCs w:val="32"/>
          </w:rPr>
          <w:fldChar w:fldCharType="end"/>
        </w:r>
      </w:hyperlink>
      <w:r/>
      <w:r/>
    </w:p>
    <w:p>
      <w:pPr>
        <w:pStyle w:val="1155"/>
        <w:spacing w:line="480" w:lineRule="auto"/>
        <w:tabs>
          <w:tab w:val="right" w:pos="9062" w:leader="dot"/>
        </w:tabs>
        <w:rPr>
          <w:rFonts w:hint="eastAsia" w:ascii="宋体" w:hAnsi="宋体" w:cstheme="minorBidi"/>
          <w:sz w:val="28"/>
          <w:szCs w:val="32"/>
          <w14:ligatures w14:val="standardContextual"/>
        </w:rPr>
      </w:pPr>
      <w:r/>
      <w:hyperlink w:tooltip="#_Toc197636605" w:anchor="_Toc197636605" w:history="1">
        <w:r>
          <w:rPr>
            <w:rStyle w:val="973"/>
            <w:rFonts w:hint="eastAsia" w:ascii="宋体" w:hAnsi="宋体"/>
            <w:b/>
            <w:color w:val="auto"/>
            <w:sz w:val="24"/>
            <w:szCs w:val="32"/>
          </w:rPr>
          <w:t xml:space="preserve">第二章   投标人须知</w:t>
        </w:r>
        <w:r>
          <w:rPr>
            <w:rFonts w:hint="eastAsia" w:ascii="宋体" w:hAnsi="宋体"/>
            <w:sz w:val="24"/>
            <w:szCs w:val="32"/>
          </w:rPr>
          <w:tab/>
        </w:r>
        <w:r>
          <w:rPr>
            <w:rFonts w:hint="eastAsia" w:ascii="宋体" w:hAnsi="宋体"/>
            <w:sz w:val="24"/>
            <w:szCs w:val="32"/>
          </w:rPr>
          <w:fldChar w:fldCharType="begin"/>
        </w:r>
        <w:r>
          <w:rPr>
            <w:rFonts w:hint="eastAsia" w:ascii="宋体" w:hAnsi="宋体"/>
            <w:sz w:val="24"/>
            <w:szCs w:val="32"/>
          </w:rPr>
          <w:instrText xml:space="preserve"> </w:instrText>
        </w:r>
        <w:r>
          <w:rPr>
            <w:rFonts w:ascii="宋体" w:hAnsi="宋体"/>
            <w:sz w:val="24"/>
            <w:szCs w:val="32"/>
          </w:rPr>
          <w:instrText xml:space="preserve">PAGEREF _Toc197636605 \h</w:instrText>
        </w:r>
        <w:r>
          <w:rPr>
            <w:rFonts w:hint="eastAsia" w:ascii="宋体" w:hAnsi="宋体"/>
            <w:sz w:val="24"/>
            <w:szCs w:val="32"/>
          </w:rPr>
          <w:instrText xml:space="preserve"> </w:instrText>
        </w:r>
        <w:r>
          <w:rPr>
            <w:rFonts w:hint="eastAsia" w:ascii="宋体" w:hAnsi="宋体"/>
            <w:sz w:val="24"/>
            <w:szCs w:val="32"/>
          </w:rPr>
        </w:r>
        <w:r>
          <w:rPr>
            <w:rFonts w:hint="eastAsia" w:ascii="宋体" w:hAnsi="宋体"/>
            <w:sz w:val="24"/>
            <w:szCs w:val="32"/>
          </w:rPr>
          <w:fldChar w:fldCharType="separate"/>
        </w:r>
        <w:r>
          <w:rPr>
            <w:rFonts w:hint="eastAsia" w:ascii="宋体" w:hAnsi="宋体"/>
            <w:sz w:val="24"/>
            <w:szCs w:val="32"/>
          </w:rPr>
          <w:t xml:space="preserve">5</w:t>
        </w:r>
        <w:r>
          <w:rPr>
            <w:rFonts w:hint="eastAsia" w:ascii="宋体" w:hAnsi="宋体"/>
            <w:sz w:val="24"/>
            <w:szCs w:val="32"/>
          </w:rPr>
          <w:fldChar w:fldCharType="end"/>
        </w:r>
      </w:hyperlink>
      <w:r/>
      <w:r/>
    </w:p>
    <w:p>
      <w:pPr>
        <w:pStyle w:val="1155"/>
        <w:spacing w:line="480" w:lineRule="auto"/>
        <w:tabs>
          <w:tab w:val="right" w:pos="9062" w:leader="dot"/>
        </w:tabs>
        <w:rPr>
          <w:rFonts w:hint="eastAsia" w:ascii="宋体" w:hAnsi="宋体" w:cstheme="minorBidi"/>
          <w:sz w:val="28"/>
          <w:szCs w:val="32"/>
          <w14:ligatures w14:val="standardContextual"/>
        </w:rPr>
      </w:pPr>
      <w:r/>
      <w:hyperlink w:tooltip="#_Toc197636615" w:anchor="_Toc197636615" w:history="1">
        <w:r>
          <w:rPr>
            <w:rStyle w:val="973"/>
            <w:rFonts w:hint="eastAsia" w:ascii="宋体" w:hAnsi="宋体"/>
            <w:b/>
            <w:color w:val="auto"/>
            <w:sz w:val="24"/>
            <w:szCs w:val="32"/>
          </w:rPr>
          <w:t xml:space="preserve">第三章  </w:t>
        </w:r>
        <w:r>
          <w:rPr>
            <w:rStyle w:val="973"/>
            <w:rFonts w:hint="eastAsia" w:ascii="宋体" w:hAnsi="宋体"/>
            <w:b/>
            <w:color w:val="auto"/>
            <w:sz w:val="24"/>
            <w:szCs w:val="32"/>
          </w:rPr>
          <w:t xml:space="preserve"> </w:t>
        </w:r>
        <w:r>
          <w:rPr>
            <w:rStyle w:val="973"/>
            <w:rFonts w:hint="eastAsia" w:ascii="宋体" w:hAnsi="宋体"/>
            <w:b/>
            <w:color w:val="auto"/>
            <w:sz w:val="24"/>
            <w:szCs w:val="32"/>
          </w:rPr>
          <w:t xml:space="preserve">资格审查</w:t>
        </w:r>
        <w:r>
          <w:rPr>
            <w:rFonts w:hint="eastAsia" w:ascii="宋体" w:hAnsi="宋体"/>
            <w:sz w:val="24"/>
            <w:szCs w:val="32"/>
          </w:rPr>
          <w:tab/>
        </w:r>
        <w:r>
          <w:rPr>
            <w:rFonts w:hint="eastAsia" w:ascii="宋体" w:hAnsi="宋体"/>
            <w:sz w:val="24"/>
            <w:szCs w:val="32"/>
          </w:rPr>
          <w:fldChar w:fldCharType="begin"/>
        </w:r>
        <w:r>
          <w:rPr>
            <w:rFonts w:hint="eastAsia" w:ascii="宋体" w:hAnsi="宋体"/>
            <w:sz w:val="24"/>
            <w:szCs w:val="32"/>
          </w:rPr>
          <w:instrText xml:space="preserve"> </w:instrText>
        </w:r>
        <w:r>
          <w:rPr>
            <w:rFonts w:ascii="宋体" w:hAnsi="宋体"/>
            <w:sz w:val="24"/>
            <w:szCs w:val="32"/>
          </w:rPr>
          <w:instrText xml:space="preserve">PAGEREF _Toc197636615 \h</w:instrText>
        </w:r>
        <w:r>
          <w:rPr>
            <w:rFonts w:hint="eastAsia" w:ascii="宋体" w:hAnsi="宋体"/>
            <w:sz w:val="24"/>
            <w:szCs w:val="32"/>
          </w:rPr>
          <w:instrText xml:space="preserve"> </w:instrText>
        </w:r>
        <w:r>
          <w:rPr>
            <w:rFonts w:hint="eastAsia" w:ascii="宋体" w:hAnsi="宋体"/>
            <w:sz w:val="24"/>
            <w:szCs w:val="32"/>
          </w:rPr>
        </w:r>
        <w:r>
          <w:rPr>
            <w:rFonts w:hint="eastAsia" w:ascii="宋体" w:hAnsi="宋体"/>
            <w:sz w:val="24"/>
            <w:szCs w:val="32"/>
          </w:rPr>
          <w:fldChar w:fldCharType="separate"/>
        </w:r>
        <w:r>
          <w:rPr>
            <w:rFonts w:hint="eastAsia" w:ascii="宋体" w:hAnsi="宋体"/>
            <w:sz w:val="24"/>
            <w:szCs w:val="32"/>
          </w:rPr>
          <w:t xml:space="preserve">23</w:t>
        </w:r>
        <w:r>
          <w:rPr>
            <w:rFonts w:hint="eastAsia" w:ascii="宋体" w:hAnsi="宋体"/>
            <w:sz w:val="24"/>
            <w:szCs w:val="32"/>
          </w:rPr>
          <w:fldChar w:fldCharType="end"/>
        </w:r>
      </w:hyperlink>
      <w:r/>
      <w:r/>
    </w:p>
    <w:p>
      <w:pPr>
        <w:pStyle w:val="1155"/>
        <w:spacing w:line="480" w:lineRule="auto"/>
        <w:tabs>
          <w:tab w:val="right" w:pos="9062" w:leader="dot"/>
        </w:tabs>
        <w:rPr>
          <w:rFonts w:hint="eastAsia" w:ascii="宋体" w:hAnsi="宋体" w:cstheme="minorBidi"/>
          <w:sz w:val="28"/>
          <w:szCs w:val="32"/>
          <w14:ligatures w14:val="standardContextual"/>
        </w:rPr>
      </w:pPr>
      <w:r/>
      <w:hyperlink w:tooltip="#_Toc197636622" w:anchor="_Toc197636622" w:history="1">
        <w:r>
          <w:rPr>
            <w:rStyle w:val="973"/>
            <w:rFonts w:hint="eastAsia" w:ascii="宋体" w:hAnsi="宋体"/>
            <w:b/>
            <w:color w:val="auto"/>
            <w:sz w:val="24"/>
            <w:szCs w:val="32"/>
          </w:rPr>
          <w:t xml:space="preserve">第四章   评标程序、评标方法和评标标准</w:t>
        </w:r>
        <w:r>
          <w:rPr>
            <w:rFonts w:hint="eastAsia" w:ascii="宋体" w:hAnsi="宋体"/>
            <w:sz w:val="24"/>
            <w:szCs w:val="32"/>
          </w:rPr>
          <w:tab/>
        </w:r>
        <w:r>
          <w:rPr>
            <w:rFonts w:hint="eastAsia" w:ascii="宋体" w:hAnsi="宋体"/>
            <w:sz w:val="24"/>
            <w:szCs w:val="32"/>
          </w:rPr>
          <w:fldChar w:fldCharType="begin"/>
        </w:r>
        <w:r>
          <w:rPr>
            <w:rFonts w:hint="eastAsia" w:ascii="宋体" w:hAnsi="宋体"/>
            <w:sz w:val="24"/>
            <w:szCs w:val="32"/>
          </w:rPr>
          <w:instrText xml:space="preserve"> </w:instrText>
        </w:r>
        <w:r>
          <w:rPr>
            <w:rFonts w:ascii="宋体" w:hAnsi="宋体"/>
            <w:sz w:val="24"/>
            <w:szCs w:val="32"/>
          </w:rPr>
          <w:instrText xml:space="preserve">PAGEREF _Toc197636622 \h</w:instrText>
        </w:r>
        <w:r>
          <w:rPr>
            <w:rFonts w:hint="eastAsia" w:ascii="宋体" w:hAnsi="宋体"/>
            <w:sz w:val="24"/>
            <w:szCs w:val="32"/>
          </w:rPr>
          <w:instrText xml:space="preserve"> </w:instrText>
        </w:r>
        <w:r>
          <w:rPr>
            <w:rFonts w:hint="eastAsia" w:ascii="宋体" w:hAnsi="宋体"/>
            <w:sz w:val="24"/>
            <w:szCs w:val="32"/>
          </w:rPr>
        </w:r>
        <w:r>
          <w:rPr>
            <w:rFonts w:hint="eastAsia" w:ascii="宋体" w:hAnsi="宋体"/>
            <w:sz w:val="24"/>
            <w:szCs w:val="32"/>
          </w:rPr>
          <w:fldChar w:fldCharType="separate"/>
        </w:r>
        <w:r>
          <w:rPr>
            <w:rFonts w:hint="eastAsia" w:ascii="宋体" w:hAnsi="宋体"/>
            <w:sz w:val="24"/>
            <w:szCs w:val="32"/>
          </w:rPr>
          <w:t xml:space="preserve">25</w:t>
        </w:r>
        <w:r>
          <w:rPr>
            <w:rFonts w:hint="eastAsia" w:ascii="宋体" w:hAnsi="宋体"/>
            <w:sz w:val="24"/>
            <w:szCs w:val="32"/>
          </w:rPr>
          <w:fldChar w:fldCharType="end"/>
        </w:r>
      </w:hyperlink>
      <w:r/>
      <w:r/>
    </w:p>
    <w:p>
      <w:pPr>
        <w:pStyle w:val="1155"/>
        <w:spacing w:line="480" w:lineRule="auto"/>
        <w:tabs>
          <w:tab w:val="right" w:pos="9062" w:leader="dot"/>
        </w:tabs>
        <w:rPr>
          <w:rFonts w:hint="eastAsia" w:ascii="宋体" w:hAnsi="宋体" w:cstheme="minorBidi"/>
          <w:sz w:val="28"/>
          <w:szCs w:val="32"/>
          <w14:ligatures w14:val="standardContextual"/>
        </w:rPr>
      </w:pPr>
      <w:r/>
      <w:hyperlink w:tooltip="#_Toc197636631" w:anchor="_Toc197636631" w:history="1">
        <w:r>
          <w:rPr>
            <w:rStyle w:val="973"/>
            <w:rFonts w:hint="eastAsia" w:ascii="宋体" w:hAnsi="宋体"/>
            <w:b/>
            <w:color w:val="auto"/>
            <w:sz w:val="24"/>
            <w:szCs w:val="32"/>
          </w:rPr>
          <w:t xml:space="preserve">第五章   采购需求</w:t>
        </w:r>
        <w:r>
          <w:rPr>
            <w:rFonts w:hint="eastAsia" w:ascii="宋体" w:hAnsi="宋体"/>
            <w:sz w:val="24"/>
            <w:szCs w:val="32"/>
          </w:rPr>
          <w:tab/>
        </w:r>
        <w:r>
          <w:rPr>
            <w:rFonts w:hint="eastAsia" w:ascii="宋体" w:hAnsi="宋体"/>
            <w:sz w:val="24"/>
            <w:szCs w:val="32"/>
          </w:rPr>
          <w:fldChar w:fldCharType="begin"/>
        </w:r>
        <w:r>
          <w:rPr>
            <w:rFonts w:hint="eastAsia" w:ascii="宋体" w:hAnsi="宋体"/>
            <w:sz w:val="24"/>
            <w:szCs w:val="32"/>
          </w:rPr>
          <w:instrText xml:space="preserve"> </w:instrText>
        </w:r>
        <w:r>
          <w:rPr>
            <w:rFonts w:ascii="宋体" w:hAnsi="宋体"/>
            <w:sz w:val="24"/>
            <w:szCs w:val="32"/>
          </w:rPr>
          <w:instrText xml:space="preserve">PAGEREF _Toc197636631 \h</w:instrText>
        </w:r>
        <w:r>
          <w:rPr>
            <w:rFonts w:hint="eastAsia" w:ascii="宋体" w:hAnsi="宋体"/>
            <w:sz w:val="24"/>
            <w:szCs w:val="32"/>
          </w:rPr>
          <w:instrText xml:space="preserve"> </w:instrText>
        </w:r>
        <w:r>
          <w:rPr>
            <w:rFonts w:hint="eastAsia" w:ascii="宋体" w:hAnsi="宋体"/>
            <w:sz w:val="24"/>
            <w:szCs w:val="32"/>
          </w:rPr>
        </w:r>
        <w:r>
          <w:rPr>
            <w:rFonts w:hint="eastAsia" w:ascii="宋体" w:hAnsi="宋体"/>
            <w:sz w:val="24"/>
            <w:szCs w:val="32"/>
          </w:rPr>
          <w:fldChar w:fldCharType="separate"/>
        </w:r>
        <w:r>
          <w:rPr>
            <w:rFonts w:hint="eastAsia" w:ascii="宋体" w:hAnsi="宋体"/>
            <w:sz w:val="24"/>
            <w:szCs w:val="32"/>
          </w:rPr>
          <w:t xml:space="preserve">32</w:t>
        </w:r>
        <w:r>
          <w:rPr>
            <w:rFonts w:hint="eastAsia" w:ascii="宋体" w:hAnsi="宋体"/>
            <w:sz w:val="24"/>
            <w:szCs w:val="32"/>
          </w:rPr>
          <w:fldChar w:fldCharType="end"/>
        </w:r>
      </w:hyperlink>
      <w:r/>
      <w:r/>
    </w:p>
    <w:p>
      <w:pPr>
        <w:pStyle w:val="1155"/>
        <w:spacing w:line="480" w:lineRule="auto"/>
        <w:tabs>
          <w:tab w:val="right" w:pos="9062" w:leader="dot"/>
        </w:tabs>
        <w:rPr>
          <w:rFonts w:hint="eastAsia" w:ascii="宋体" w:hAnsi="宋体" w:cstheme="minorBidi"/>
          <w:sz w:val="28"/>
          <w:szCs w:val="32"/>
          <w14:ligatures w14:val="standardContextual"/>
        </w:rPr>
      </w:pPr>
      <w:r/>
      <w:hyperlink w:tooltip="#_Toc197636632" w:anchor="_Toc197636632" w:history="1">
        <w:r>
          <w:rPr>
            <w:rStyle w:val="973"/>
            <w:rFonts w:hint="eastAsia" w:ascii="宋体" w:hAnsi="宋体"/>
            <w:b/>
            <w:color w:val="auto"/>
            <w:sz w:val="24"/>
            <w:szCs w:val="32"/>
          </w:rPr>
          <w:t xml:space="preserve">第六章   拟签订的合同文本</w:t>
        </w:r>
        <w:r>
          <w:rPr>
            <w:rFonts w:hint="eastAsia" w:ascii="宋体" w:hAnsi="宋体"/>
            <w:sz w:val="24"/>
            <w:szCs w:val="32"/>
          </w:rPr>
          <w:tab/>
        </w:r>
        <w:r>
          <w:rPr>
            <w:rFonts w:hint="eastAsia" w:ascii="宋体" w:hAnsi="宋体"/>
            <w:sz w:val="24"/>
            <w:szCs w:val="32"/>
          </w:rPr>
          <w:fldChar w:fldCharType="begin"/>
        </w:r>
        <w:r>
          <w:rPr>
            <w:rFonts w:hint="eastAsia" w:ascii="宋体" w:hAnsi="宋体"/>
            <w:sz w:val="24"/>
            <w:szCs w:val="32"/>
          </w:rPr>
          <w:instrText xml:space="preserve"> </w:instrText>
        </w:r>
        <w:r>
          <w:rPr>
            <w:rFonts w:ascii="宋体" w:hAnsi="宋体"/>
            <w:sz w:val="24"/>
            <w:szCs w:val="32"/>
          </w:rPr>
          <w:instrText xml:space="preserve">PAGEREF _Toc197636632 \h</w:instrText>
        </w:r>
        <w:r>
          <w:rPr>
            <w:rFonts w:hint="eastAsia" w:ascii="宋体" w:hAnsi="宋体"/>
            <w:sz w:val="24"/>
            <w:szCs w:val="32"/>
          </w:rPr>
          <w:instrText xml:space="preserve"> </w:instrText>
        </w:r>
        <w:r>
          <w:rPr>
            <w:rFonts w:hint="eastAsia" w:ascii="宋体" w:hAnsi="宋体"/>
            <w:sz w:val="24"/>
            <w:szCs w:val="32"/>
          </w:rPr>
        </w:r>
        <w:r>
          <w:rPr>
            <w:rFonts w:hint="eastAsia" w:ascii="宋体" w:hAnsi="宋体"/>
            <w:sz w:val="24"/>
            <w:szCs w:val="32"/>
          </w:rPr>
          <w:fldChar w:fldCharType="separate"/>
        </w:r>
        <w:r>
          <w:rPr>
            <w:rFonts w:hint="eastAsia" w:ascii="宋体" w:hAnsi="宋体"/>
            <w:sz w:val="24"/>
            <w:szCs w:val="32"/>
          </w:rPr>
          <w:t xml:space="preserve">39</w:t>
        </w:r>
        <w:r>
          <w:rPr>
            <w:rFonts w:hint="eastAsia" w:ascii="宋体" w:hAnsi="宋体"/>
            <w:sz w:val="24"/>
            <w:szCs w:val="32"/>
          </w:rPr>
          <w:fldChar w:fldCharType="end"/>
        </w:r>
      </w:hyperlink>
      <w:r/>
      <w:r/>
    </w:p>
    <w:p>
      <w:pPr>
        <w:pStyle w:val="1155"/>
        <w:spacing w:line="480" w:lineRule="auto"/>
        <w:tabs>
          <w:tab w:val="right" w:pos="9062" w:leader="dot"/>
        </w:tabs>
        <w:rPr>
          <w:rFonts w:hint="eastAsia" w:ascii="宋体" w:hAnsi="宋体" w:cstheme="minorBidi"/>
          <w:sz w:val="28"/>
          <w:szCs w:val="32"/>
          <w14:ligatures w14:val="standardContextual"/>
        </w:rPr>
      </w:pPr>
      <w:r/>
      <w:hyperlink w:tooltip="#_Toc197636633" w:anchor="_Toc197636633" w:history="1">
        <w:r>
          <w:rPr>
            <w:rStyle w:val="973"/>
            <w:rFonts w:hint="eastAsia" w:ascii="宋体" w:hAnsi="宋体"/>
            <w:b/>
            <w:color w:val="auto"/>
            <w:sz w:val="24"/>
            <w:szCs w:val="32"/>
          </w:rPr>
          <w:t xml:space="preserve">第七章   投标文件的组成及提交须知</w:t>
        </w:r>
        <w:r>
          <w:rPr>
            <w:rFonts w:hint="eastAsia" w:ascii="宋体" w:hAnsi="宋体"/>
            <w:sz w:val="24"/>
            <w:szCs w:val="32"/>
          </w:rPr>
          <w:tab/>
        </w:r>
        <w:r>
          <w:rPr>
            <w:rFonts w:hint="eastAsia" w:ascii="宋体" w:hAnsi="宋体"/>
            <w:sz w:val="24"/>
            <w:szCs w:val="32"/>
          </w:rPr>
          <w:fldChar w:fldCharType="begin"/>
        </w:r>
        <w:r>
          <w:rPr>
            <w:rFonts w:hint="eastAsia" w:ascii="宋体" w:hAnsi="宋体"/>
            <w:sz w:val="24"/>
            <w:szCs w:val="32"/>
          </w:rPr>
          <w:instrText xml:space="preserve"> </w:instrText>
        </w:r>
        <w:r>
          <w:rPr>
            <w:rFonts w:ascii="宋体" w:hAnsi="宋体"/>
            <w:sz w:val="24"/>
            <w:szCs w:val="32"/>
          </w:rPr>
          <w:instrText xml:space="preserve">PAGEREF _Toc197636633 \h</w:instrText>
        </w:r>
        <w:r>
          <w:rPr>
            <w:rFonts w:hint="eastAsia" w:ascii="宋体" w:hAnsi="宋体"/>
            <w:sz w:val="24"/>
            <w:szCs w:val="32"/>
          </w:rPr>
          <w:instrText xml:space="preserve"> </w:instrText>
        </w:r>
        <w:r>
          <w:rPr>
            <w:rFonts w:hint="eastAsia" w:ascii="宋体" w:hAnsi="宋体"/>
            <w:sz w:val="24"/>
            <w:szCs w:val="32"/>
          </w:rPr>
        </w:r>
        <w:r>
          <w:rPr>
            <w:rFonts w:hint="eastAsia" w:ascii="宋体" w:hAnsi="宋体"/>
            <w:sz w:val="24"/>
            <w:szCs w:val="32"/>
          </w:rPr>
          <w:fldChar w:fldCharType="separate"/>
        </w:r>
        <w:r>
          <w:rPr>
            <w:rFonts w:hint="eastAsia" w:ascii="宋体" w:hAnsi="宋体"/>
            <w:sz w:val="24"/>
            <w:szCs w:val="32"/>
          </w:rPr>
          <w:t xml:space="preserve">44</w:t>
        </w:r>
        <w:r>
          <w:rPr>
            <w:rFonts w:hint="eastAsia" w:ascii="宋体" w:hAnsi="宋体"/>
            <w:sz w:val="24"/>
            <w:szCs w:val="32"/>
          </w:rPr>
          <w:fldChar w:fldCharType="end"/>
        </w:r>
      </w:hyperlink>
      <w:r/>
      <w:r/>
    </w:p>
    <w:p>
      <w:pPr>
        <w:pStyle w:val="1155"/>
        <w:spacing w:line="480" w:lineRule="auto"/>
        <w:tabs>
          <w:tab w:val="right" w:pos="9062" w:leader="dot"/>
        </w:tabs>
        <w:rPr>
          <w:rFonts w:hint="eastAsia" w:ascii="宋体" w:hAnsi="宋体" w:cstheme="minorBidi"/>
          <w:sz w:val="28"/>
          <w:szCs w:val="32"/>
          <w14:ligatures w14:val="standardContextual"/>
        </w:rPr>
      </w:pPr>
      <w:r/>
      <w:hyperlink w:tooltip="#_Toc197636639" w:anchor="_Toc197636639" w:history="1">
        <w:r>
          <w:rPr>
            <w:rStyle w:val="973"/>
            <w:rFonts w:hint="eastAsia" w:ascii="宋体" w:hAnsi="宋体"/>
            <w:b/>
            <w:color w:val="auto"/>
            <w:sz w:val="24"/>
            <w:szCs w:val="32"/>
          </w:rPr>
          <w:t xml:space="preserve">第八章   投标文件格式</w:t>
        </w:r>
        <w:r>
          <w:rPr>
            <w:rFonts w:hint="eastAsia" w:ascii="宋体" w:hAnsi="宋体"/>
            <w:sz w:val="24"/>
            <w:szCs w:val="32"/>
          </w:rPr>
          <w:tab/>
        </w:r>
        <w:r>
          <w:rPr>
            <w:rFonts w:hint="eastAsia" w:ascii="宋体" w:hAnsi="宋体"/>
            <w:sz w:val="24"/>
            <w:szCs w:val="32"/>
          </w:rPr>
          <w:fldChar w:fldCharType="begin"/>
        </w:r>
        <w:r>
          <w:rPr>
            <w:rFonts w:hint="eastAsia" w:ascii="宋体" w:hAnsi="宋体"/>
            <w:sz w:val="24"/>
            <w:szCs w:val="32"/>
          </w:rPr>
          <w:instrText xml:space="preserve"> </w:instrText>
        </w:r>
        <w:r>
          <w:rPr>
            <w:rFonts w:ascii="宋体" w:hAnsi="宋体"/>
            <w:sz w:val="24"/>
            <w:szCs w:val="32"/>
          </w:rPr>
          <w:instrText xml:space="preserve">PAGEREF _Toc197636639 \h</w:instrText>
        </w:r>
        <w:r>
          <w:rPr>
            <w:rFonts w:hint="eastAsia" w:ascii="宋体" w:hAnsi="宋体"/>
            <w:sz w:val="24"/>
            <w:szCs w:val="32"/>
          </w:rPr>
          <w:instrText xml:space="preserve"> </w:instrText>
        </w:r>
        <w:r>
          <w:rPr>
            <w:rFonts w:hint="eastAsia" w:ascii="宋体" w:hAnsi="宋体"/>
            <w:sz w:val="24"/>
            <w:szCs w:val="32"/>
          </w:rPr>
        </w:r>
        <w:r>
          <w:rPr>
            <w:rFonts w:hint="eastAsia" w:ascii="宋体" w:hAnsi="宋体"/>
            <w:sz w:val="24"/>
            <w:szCs w:val="32"/>
          </w:rPr>
          <w:fldChar w:fldCharType="separate"/>
        </w:r>
        <w:r>
          <w:rPr>
            <w:rFonts w:hint="eastAsia" w:ascii="宋体" w:hAnsi="宋体"/>
            <w:sz w:val="24"/>
            <w:szCs w:val="32"/>
          </w:rPr>
          <w:t xml:space="preserve">45</w:t>
        </w:r>
        <w:r>
          <w:rPr>
            <w:rFonts w:hint="eastAsia" w:ascii="宋体" w:hAnsi="宋体"/>
            <w:sz w:val="24"/>
            <w:szCs w:val="32"/>
          </w:rPr>
          <w:fldChar w:fldCharType="end"/>
        </w:r>
      </w:hyperlink>
      <w:r/>
      <w:r/>
    </w:p>
    <w:p>
      <w:pPr>
        <w:pStyle w:val="1157"/>
        <w:ind w:left="0"/>
        <w:spacing w:line="480" w:lineRule="auto"/>
        <w:tabs>
          <w:tab w:val="right" w:pos="9062" w:leader="dot"/>
        </w:tabs>
        <w:rPr>
          <w:rFonts w:hint="eastAsia" w:ascii="宋体" w:hAnsi="宋体" w:cstheme="minorBidi"/>
          <w:sz w:val="28"/>
          <w:szCs w:val="32"/>
          <w14:ligatures w14:val="standardContextual"/>
        </w:rPr>
      </w:pPr>
      <w:r>
        <w:rPr>
          <w:rFonts w:hint="eastAsia" w:ascii="宋体" w:hAnsi="宋体" w:cstheme="minorBidi"/>
          <w:sz w:val="28"/>
          <w:szCs w:val="32"/>
          <w14:ligatures w14:val="standardContextual"/>
        </w:rPr>
      </w:r>
      <w:r/>
    </w:p>
    <w:p>
      <w:pPr>
        <w:rPr>
          <w:rFonts w:hint="eastAsia"/>
        </w:rPr>
      </w:pPr>
      <w:r>
        <w:rPr>
          <w:b/>
          <w:bCs/>
          <w:lang w:val="zh-CN"/>
        </w:rPr>
        <w:fldChar w:fldCharType="end"/>
      </w:r>
      <w:r/>
    </w:p>
    <w:p>
      <w:pPr>
        <w:pStyle w:val="948"/>
        <w:spacing w:line="360" w:lineRule="auto"/>
        <w:rPr>
          <w:rFonts w:hint="eastAsia"/>
          <w:b w:val="0"/>
          <w:sz w:val="21"/>
          <w:szCs w:val="22"/>
        </w:rPr>
      </w:pPr>
      <w:r>
        <w:rPr>
          <w:rFonts w:hint="eastAsia"/>
          <w:b w:val="0"/>
          <w:sz w:val="21"/>
          <w:szCs w:val="22"/>
        </w:rPr>
      </w:r>
      <w:r/>
    </w:p>
    <w:p>
      <w:pPr>
        <w:rPr>
          <w:rFonts w:hint="eastAsia"/>
        </w:rPr>
      </w:pPr>
      <w:r>
        <w:rPr>
          <w:rFonts w:hint="eastAsia"/>
        </w:rPr>
      </w:r>
      <w:r/>
    </w:p>
    <w:p>
      <w:pPr>
        <w:pStyle w:val="907"/>
        <w:rPr>
          <w:rFonts w:hint="eastAsia"/>
          <w:color w:val="auto"/>
        </w:rPr>
      </w:pPr>
      <w:r>
        <w:rPr>
          <w:rFonts w:hint="eastAsia"/>
          <w:color w:val="auto"/>
        </w:rPr>
      </w:r>
      <w:r/>
    </w:p>
    <w:p>
      <w:pPr>
        <w:pStyle w:val="907"/>
        <w:rPr>
          <w:rFonts w:hint="eastAsia"/>
          <w:color w:val="auto"/>
        </w:rPr>
      </w:pPr>
      <w:r>
        <w:rPr>
          <w:rFonts w:hint="eastAsia"/>
          <w:color w:val="auto"/>
        </w:rPr>
      </w:r>
      <w:r/>
    </w:p>
    <w:p>
      <w:pPr>
        <w:pStyle w:val="907"/>
        <w:rPr>
          <w:rFonts w:hint="eastAsia"/>
          <w:color w:val="auto"/>
        </w:rPr>
      </w:pPr>
      <w:r>
        <w:rPr>
          <w:rFonts w:hint="eastAsia"/>
          <w:color w:val="auto"/>
        </w:rPr>
      </w:r>
      <w:r/>
    </w:p>
    <w:p>
      <w:pPr>
        <w:pStyle w:val="907"/>
        <w:rPr>
          <w:rFonts w:hint="eastAsia"/>
          <w:color w:val="auto"/>
        </w:rPr>
      </w:pPr>
      <w:r>
        <w:rPr>
          <w:rFonts w:hint="eastAsia"/>
          <w:color w:val="auto"/>
        </w:rPr>
      </w:r>
      <w:r/>
    </w:p>
    <w:p>
      <w:pPr>
        <w:pStyle w:val="907"/>
        <w:rPr>
          <w:rFonts w:hint="eastAsia"/>
          <w:color w:val="auto"/>
        </w:rPr>
      </w:pPr>
      <w:r>
        <w:rPr>
          <w:rFonts w:hint="eastAsia"/>
          <w:color w:val="auto"/>
        </w:rPr>
      </w:r>
      <w:r/>
    </w:p>
    <w:p>
      <w:pPr>
        <w:pStyle w:val="907"/>
        <w:rPr>
          <w:rFonts w:hint="eastAsia"/>
          <w:color w:val="auto"/>
        </w:rPr>
      </w:pPr>
      <w:r>
        <w:rPr>
          <w:rFonts w:hint="eastAsia"/>
          <w:color w:val="auto"/>
        </w:rPr>
      </w:r>
      <w:r/>
    </w:p>
    <w:p>
      <w:pPr>
        <w:pStyle w:val="907"/>
        <w:rPr>
          <w:rFonts w:hint="eastAsia"/>
          <w:color w:val="auto"/>
        </w:rPr>
      </w:pPr>
      <w:r>
        <w:rPr>
          <w:rFonts w:hint="eastAsia"/>
          <w:color w:val="auto"/>
        </w:rPr>
      </w:r>
      <w:r/>
    </w:p>
    <w:p>
      <w:pPr>
        <w:pStyle w:val="907"/>
        <w:rPr>
          <w:rFonts w:hint="eastAsia"/>
          <w:color w:val="auto"/>
        </w:rPr>
      </w:pPr>
      <w:r>
        <w:rPr>
          <w:rFonts w:hint="eastAsia"/>
          <w:color w:val="auto"/>
        </w:rPr>
      </w:r>
      <w:r/>
    </w:p>
    <w:p>
      <w:pPr>
        <w:pStyle w:val="907"/>
        <w:rPr>
          <w:rFonts w:hint="eastAsia"/>
          <w:color w:val="auto"/>
        </w:rPr>
      </w:pPr>
      <w:r>
        <w:rPr>
          <w:rFonts w:hint="eastAsia"/>
          <w:color w:val="auto"/>
        </w:rPr>
      </w:r>
      <w:r/>
    </w:p>
    <w:p>
      <w:pPr>
        <w:pStyle w:val="907"/>
        <w:rPr>
          <w:rFonts w:hint="eastAsia"/>
          <w:color w:val="auto"/>
        </w:rPr>
      </w:pPr>
      <w:r>
        <w:rPr>
          <w:rFonts w:hint="eastAsia"/>
          <w:color w:val="auto"/>
        </w:rPr>
      </w:r>
      <w:r/>
    </w:p>
    <w:p>
      <w:pPr>
        <w:pStyle w:val="907"/>
        <w:rPr>
          <w:rFonts w:hint="eastAsia"/>
          <w:color w:val="auto"/>
        </w:rPr>
      </w:pPr>
      <w:r>
        <w:rPr>
          <w:rFonts w:hint="eastAsia"/>
          <w:color w:val="auto"/>
        </w:rPr>
      </w:r>
      <w:r/>
    </w:p>
    <w:p>
      <w:pPr>
        <w:pStyle w:val="907"/>
        <w:rPr>
          <w:rFonts w:hint="eastAsia"/>
          <w:color w:val="auto"/>
        </w:rPr>
      </w:pPr>
      <w:r>
        <w:rPr>
          <w:rFonts w:hint="eastAsia"/>
          <w:color w:val="auto"/>
        </w:rPr>
      </w:r>
      <w:r/>
    </w:p>
    <w:p>
      <w:pPr>
        <w:pStyle w:val="907"/>
        <w:rPr>
          <w:rFonts w:hint="eastAsia"/>
          <w:color w:val="auto"/>
        </w:rPr>
      </w:pPr>
      <w:r>
        <w:rPr>
          <w:rFonts w:hint="eastAsia"/>
          <w:color w:val="auto"/>
        </w:rPr>
      </w:r>
      <w:r/>
    </w:p>
    <w:p>
      <w:pPr>
        <w:pStyle w:val="907"/>
        <w:rPr>
          <w:rFonts w:hint="eastAsia"/>
          <w:color w:val="auto"/>
        </w:rPr>
      </w:pPr>
      <w:r>
        <w:rPr>
          <w:rFonts w:hint="eastAsia"/>
          <w:color w:val="auto"/>
        </w:rPr>
      </w:r>
      <w:r/>
    </w:p>
    <w:p>
      <w:pPr>
        <w:pStyle w:val="907"/>
        <w:rPr>
          <w:rFonts w:hint="eastAsia"/>
          <w:color w:val="auto"/>
        </w:rPr>
      </w:pPr>
      <w:r>
        <w:rPr>
          <w:rFonts w:hint="eastAsia"/>
          <w:color w:val="auto"/>
        </w:rPr>
      </w:r>
      <w:r/>
    </w:p>
    <w:p>
      <w:pPr>
        <w:pStyle w:val="907"/>
        <w:rPr>
          <w:rFonts w:hint="eastAsia"/>
          <w:color w:val="auto"/>
        </w:rPr>
      </w:pPr>
      <w:r>
        <w:rPr>
          <w:rFonts w:hint="eastAsia"/>
          <w:color w:val="auto"/>
        </w:rPr>
      </w:r>
      <w:r/>
    </w:p>
    <w:p>
      <w:pPr>
        <w:jc w:val="center"/>
        <w:spacing w:line="360" w:lineRule="auto"/>
        <w:rPr>
          <w:rFonts w:hint="eastAsia"/>
          <w:b/>
          <w:sz w:val="36"/>
          <w:szCs w:val="36"/>
        </w:rPr>
        <w:sectPr>
          <w:headerReference w:type="default" r:id="rId9"/>
          <w:headerReference w:type="first" r:id="rId10"/>
          <w:footerReference w:type="default" r:id="rId16"/>
          <w:footerReference w:type="first" r:id="rId17"/>
          <w:footnotePr/>
          <w:endnotePr/>
          <w:type w:val="nextPage"/>
          <w:pgSz w:w="11907" w:h="16840" w:orient="portrait"/>
          <w:pgMar w:top="1440" w:right="1080" w:bottom="1440" w:left="1080" w:header="851" w:footer="850" w:gutter="0"/>
          <w:pgNumType w:start="1"/>
          <w:cols w:num="1" w:sep="0" w:space="720" w:equalWidth="1"/>
          <w:docGrid w:linePitch="360"/>
        </w:sectPr>
        <w:outlineLvl w:val="0"/>
      </w:pPr>
      <w:r/>
      <w:bookmarkStart w:id="1" w:name="_Toc99301419"/>
      <w:r/>
      <w:bookmarkStart w:id="2" w:name="_Toc152683373"/>
      <w:r/>
      <w:r/>
    </w:p>
    <w:p>
      <w:pPr>
        <w:jc w:val="center"/>
        <w:spacing w:line="360" w:lineRule="auto"/>
        <w:rPr>
          <w:rFonts w:hint="eastAsia"/>
          <w:b/>
          <w:sz w:val="36"/>
          <w:szCs w:val="36"/>
        </w:rPr>
        <w:outlineLvl w:val="0"/>
      </w:pPr>
      <w:r/>
      <w:bookmarkStart w:id="3" w:name="_Toc197636598"/>
      <w:r>
        <w:rPr>
          <w:b/>
          <w:sz w:val="36"/>
          <w:szCs w:val="36"/>
        </w:rPr>
        <w:t xml:space="preserve">第一章   投标邀请</w:t>
      </w:r>
      <w:bookmarkEnd w:id="1"/>
      <w:r/>
      <w:bookmarkEnd w:id="2"/>
      <w:r/>
      <w:bookmarkEnd w:id="3"/>
      <w:r/>
      <w:r/>
    </w:p>
    <w:p>
      <w:pPr>
        <w:ind w:firstLine="480"/>
        <w:jc w:val="center"/>
        <w:spacing w:line="360" w:lineRule="auto"/>
        <w:rPr>
          <w:rFonts w:hint="eastAsia"/>
        </w:rPr>
        <w:pBdr>
          <w:top w:val="single" w:color="auto" w:sz="4" w:space="1"/>
          <w:left w:val="single" w:color="auto" w:sz="4" w:space="4"/>
          <w:bottom w:val="single" w:color="auto" w:sz="4" w:space="1"/>
          <w:right w:val="single" w:color="auto" w:sz="4" w:space="4"/>
        </w:pBdr>
      </w:pPr>
      <w:r/>
      <w:bookmarkStart w:id="4" w:name="_Toc28359079"/>
      <w:r/>
      <w:bookmarkStart w:id="5" w:name="_Toc35393790"/>
      <w:r/>
      <w:bookmarkStart w:id="6" w:name="_Toc28359002"/>
      <w:r/>
      <w:bookmarkStart w:id="7" w:name="_Toc35393621"/>
      <w:r/>
      <w:bookmarkStart w:id="8" w:name="_Hlk24379207"/>
      <w:r>
        <w:rPr>
          <w:rFonts w:hint="eastAsia"/>
        </w:rPr>
        <w:t xml:space="preserve">项目概况</w:t>
      </w:r>
      <w:r/>
    </w:p>
    <w:p>
      <w:pPr>
        <w:ind w:firstLine="480"/>
        <w:spacing w:line="360" w:lineRule="auto"/>
        <w:rPr>
          <w:rFonts w:hint="eastAsia"/>
        </w:rPr>
        <w:pBdr>
          <w:top w:val="single" w:color="auto" w:sz="4" w:space="1"/>
          <w:left w:val="single" w:color="auto" w:sz="4" w:space="4"/>
          <w:bottom w:val="single" w:color="auto" w:sz="4" w:space="1"/>
          <w:right w:val="single" w:color="auto" w:sz="4" w:space="4"/>
        </w:pBdr>
      </w:pPr>
      <w:r/>
      <w:bookmarkStart w:id="9" w:name="OLE_LINK29"/>
      <w:r>
        <w:rPr>
          <w:rFonts w:hint="eastAsia"/>
          <w:u w:val="single"/>
        </w:rPr>
        <w:t xml:space="preserve">江苏理工学院武进绿建区协同创新园新建工程</w:t>
      </w:r>
      <w:bookmarkStart w:id="10" w:name="OLE_LINK31"/>
      <w:r>
        <w:rPr>
          <w:rFonts w:hint="eastAsia"/>
          <w:u w:val="single"/>
        </w:rPr>
        <w:t xml:space="preserve">二期项目</w:t>
      </w:r>
      <w:bookmarkEnd w:id="10"/>
      <w:r>
        <w:rPr>
          <w:rFonts w:hint="eastAsia"/>
          <w:u w:val="single"/>
        </w:rPr>
        <w:t xml:space="preserve">9号楼、33号楼厨房设备采购</w:t>
      </w:r>
      <w:bookmarkEnd w:id="9"/>
      <w:r>
        <w:rPr>
          <w:rFonts w:hint="eastAsia"/>
        </w:rPr>
        <w:t xml:space="preserve">招标项目的潜在投标人可在</w:t>
      </w:r>
      <w:r>
        <w:rPr>
          <w:rFonts w:hint="eastAsia"/>
          <w:u w:val="single"/>
        </w:rPr>
        <w:t xml:space="preserve">“</w:t>
      </w:r>
      <w:r>
        <w:rPr>
          <w:rFonts w:hint="eastAsia"/>
          <w:u w:val="single"/>
        </w:rPr>
        <w:t xml:space="preserve">苏采云</w:t>
      </w:r>
      <w:r>
        <w:rPr>
          <w:rFonts w:hint="eastAsia"/>
          <w:u w:val="single"/>
        </w:rPr>
        <w:t xml:space="preserve">”</w:t>
      </w:r>
      <w:r>
        <w:rPr>
          <w:rFonts w:hint="eastAsia"/>
          <w:u w:val="single"/>
        </w:rPr>
        <w:t xml:space="preserve">平台</w:t>
      </w:r>
      <w:r>
        <w:rPr>
          <w:rFonts w:hint="eastAsia"/>
          <w:u w:val="single"/>
        </w:rPr>
        <w:t xml:space="preserve">自行免费下载</w:t>
      </w:r>
      <w:r>
        <w:rPr>
          <w:rFonts w:hint="eastAsia"/>
        </w:rPr>
        <w:t xml:space="preserve">招标文件，并于</w:t>
      </w:r>
      <w:r>
        <w:rPr>
          <w:color w:val="ee0000"/>
          <w:u w:val="single"/>
        </w:rPr>
        <w:t xml:space="preserve">202</w:t>
      </w:r>
      <w:r>
        <w:rPr>
          <w:rFonts w:hint="eastAsia"/>
          <w:color w:val="ee0000"/>
          <w:u w:val="single"/>
        </w:rPr>
        <w:t xml:space="preserve">6</w:t>
      </w:r>
      <w:r>
        <w:rPr>
          <w:rFonts w:hint="eastAsia"/>
          <w:bCs/>
          <w:color w:val="ee0000"/>
          <w:u w:val="single"/>
        </w:rPr>
        <w:t xml:space="preserve">年</w:t>
      </w:r>
      <w:r>
        <w:rPr>
          <w:rFonts w:hint="eastAsia"/>
          <w:bCs/>
          <w:color w:val="ee0000"/>
          <w:u w:val="single"/>
        </w:rPr>
        <w:t xml:space="preserve">2</w:t>
      </w:r>
      <w:r>
        <w:rPr>
          <w:rFonts w:hint="eastAsia"/>
          <w:bCs/>
          <w:color w:val="ee0000"/>
          <w:u w:val="single"/>
        </w:rPr>
        <w:t xml:space="preserve">月</w:t>
      </w:r>
      <w:r>
        <w:rPr>
          <w:rFonts w:hint="eastAsia"/>
          <w:bCs/>
          <w:color w:val="ee0000"/>
          <w:u w:val="single"/>
        </w:rPr>
        <w:t xml:space="preserve">12</w:t>
      </w:r>
      <w:r>
        <w:rPr>
          <w:rFonts w:hint="eastAsia"/>
          <w:bCs/>
          <w:color w:val="ee0000"/>
          <w:u w:val="single"/>
        </w:rPr>
        <w:t xml:space="preserve">日</w:t>
      </w:r>
      <w:r>
        <w:rPr>
          <w:rFonts w:hint="eastAsia"/>
          <w:bCs/>
          <w:u w:val="single"/>
        </w:rPr>
        <w:t xml:space="preserve">0</w:t>
      </w:r>
      <w:r>
        <w:rPr>
          <w:bCs/>
          <w:u w:val="single"/>
        </w:rPr>
        <w:t xml:space="preserve">9</w:t>
      </w:r>
      <w:r>
        <w:rPr>
          <w:rFonts w:hint="eastAsia"/>
          <w:bCs/>
          <w:u w:val="single"/>
        </w:rPr>
        <w:t xml:space="preserve">点</w:t>
      </w:r>
      <w:r>
        <w:rPr>
          <w:rFonts w:hint="eastAsia"/>
          <w:bCs/>
          <w:u w:val="single"/>
        </w:rPr>
        <w:t xml:space="preserve">00</w:t>
      </w:r>
      <w:r>
        <w:rPr>
          <w:rFonts w:hint="eastAsia"/>
          <w:bCs/>
          <w:u w:val="single"/>
        </w:rPr>
        <w:t xml:space="preserve">分（</w:t>
      </w:r>
      <w:r>
        <w:rPr>
          <w:rFonts w:hint="eastAsia"/>
          <w:bCs/>
        </w:rPr>
        <w:t xml:space="preserve">北京时间）前递交投标</w:t>
      </w:r>
      <w:r>
        <w:rPr>
          <w:bCs/>
        </w:rPr>
        <w:t xml:space="preserve">文件</w:t>
      </w:r>
      <w:r>
        <w:rPr>
          <w:rFonts w:hint="eastAsia"/>
        </w:rPr>
        <w:t xml:space="preserve">。</w:t>
      </w:r>
      <w:r/>
    </w:p>
    <w:p>
      <w:pPr>
        <w:pStyle w:val="896"/>
        <w:ind w:firstLine="482"/>
        <w:jc w:val="left"/>
        <w:spacing w:before="0" w:line="360" w:lineRule="auto"/>
        <w:rPr>
          <w:rFonts w:hint="eastAsia" w:ascii="宋体" w:hAnsi="宋体" w:eastAsia="宋体"/>
          <w:sz w:val="24"/>
          <w:szCs w:val="24"/>
        </w:rPr>
      </w:pPr>
      <w:r/>
      <w:bookmarkStart w:id="11" w:name="_Toc152683015"/>
      <w:r/>
      <w:bookmarkStart w:id="12" w:name="_Toc152683374"/>
      <w:r/>
      <w:bookmarkStart w:id="13" w:name="_Toc152683534"/>
      <w:r/>
      <w:bookmarkStart w:id="14" w:name="_Toc197636548"/>
      <w:r/>
      <w:bookmarkStart w:id="15" w:name="_Toc197636599"/>
      <w:r>
        <w:rPr>
          <w:rFonts w:ascii="宋体" w:hAnsi="宋体" w:eastAsia="宋体"/>
          <w:sz w:val="24"/>
          <w:szCs w:val="24"/>
        </w:rPr>
        <w:t xml:space="preserve">一、项目基本情况</w:t>
      </w:r>
      <w:bookmarkEnd w:id="4"/>
      <w:r/>
      <w:bookmarkEnd w:id="5"/>
      <w:r/>
      <w:bookmarkEnd w:id="6"/>
      <w:r/>
      <w:bookmarkEnd w:id="7"/>
      <w:r/>
      <w:bookmarkEnd w:id="11"/>
      <w:r/>
      <w:bookmarkEnd w:id="12"/>
      <w:r/>
      <w:bookmarkEnd w:id="13"/>
      <w:r/>
      <w:bookmarkEnd w:id="14"/>
      <w:r/>
      <w:bookmarkEnd w:id="15"/>
      <w:r/>
      <w:r/>
    </w:p>
    <w:p>
      <w:pPr>
        <w:ind w:firstLine="480"/>
        <w:spacing w:line="360" w:lineRule="auto"/>
        <w:rPr>
          <w:rFonts w:hint="eastAsia"/>
        </w:rPr>
      </w:pPr>
      <w:r>
        <w:t xml:space="preserve">1.项目编号：</w:t>
      </w:r>
      <w:r>
        <w:rPr>
          <w:rFonts w:hint="eastAsia"/>
        </w:rPr>
        <w:t xml:space="preserve">JSZC-320412-XYCX-G2026-0002</w:t>
      </w:r>
      <w:r/>
    </w:p>
    <w:p>
      <w:pPr>
        <w:ind w:firstLine="480"/>
        <w:spacing w:line="360" w:lineRule="auto"/>
        <w:rPr>
          <w:rFonts w:hint="eastAsia"/>
        </w:rPr>
      </w:pPr>
      <w:r>
        <w:t xml:space="preserve">2.项目名称：</w:t>
      </w:r>
      <w:bookmarkEnd w:id="8"/>
      <w:r>
        <w:rPr>
          <w:rFonts w:hint="eastAsia"/>
        </w:rPr>
        <w:t xml:space="preserve">江苏理工学院武进绿建区协同创新园新建工程二期项目9号楼、33号楼厨房设备采购</w:t>
      </w:r>
      <w:r/>
    </w:p>
    <w:p>
      <w:pPr>
        <w:ind w:firstLine="480"/>
        <w:spacing w:line="360" w:lineRule="auto"/>
        <w:rPr>
          <w:rFonts w:hint="eastAsia"/>
        </w:rPr>
      </w:pPr>
      <w:r>
        <w:t xml:space="preserve">3.项目预算金额：</w:t>
      </w:r>
      <w:r>
        <w:rPr>
          <w:rFonts w:hint="eastAsia"/>
        </w:rPr>
        <w:t xml:space="preserve">620</w:t>
      </w:r>
      <w:r>
        <w:rPr>
          <w:rFonts w:hint="eastAsia"/>
        </w:rPr>
        <w:t xml:space="preserve">万元</w:t>
      </w:r>
      <w:r/>
    </w:p>
    <w:p>
      <w:pPr>
        <w:ind w:firstLine="480"/>
        <w:spacing w:line="360" w:lineRule="auto"/>
        <w:rPr>
          <w:rFonts w:hint="eastAsia"/>
        </w:rPr>
      </w:pPr>
      <w:r>
        <w:rPr>
          <w:rFonts w:hint="eastAsia"/>
        </w:rPr>
        <w:t xml:space="preserve">4.</w:t>
      </w:r>
      <w:r>
        <w:t xml:space="preserve">项目最高限价：</w:t>
      </w:r>
      <w:bookmarkStart w:id="16" w:name="OLE_LINK47"/>
      <w:r>
        <w:rPr>
          <w:rFonts w:hint="eastAsia"/>
        </w:rPr>
        <w:t xml:space="preserve">620</w:t>
      </w:r>
      <w:r>
        <w:rPr>
          <w:rFonts w:hint="eastAsia"/>
        </w:rPr>
        <w:t xml:space="preserve">万元</w:t>
      </w:r>
      <w:r>
        <w:rPr>
          <w:rFonts w:hint="eastAsia"/>
        </w:rPr>
        <w:t xml:space="preserve">，其中：一包：</w:t>
      </w:r>
      <w:r>
        <w:rPr>
          <w:rFonts w:hint="eastAsia"/>
        </w:rPr>
        <w:t xml:space="preserve">260万元</w:t>
      </w:r>
      <w:r>
        <w:rPr>
          <w:rFonts w:hint="eastAsia"/>
        </w:rPr>
        <w:t xml:space="preserve">；二包：</w:t>
      </w:r>
      <w:r>
        <w:rPr>
          <w:rFonts w:hint="eastAsia"/>
        </w:rPr>
        <w:t xml:space="preserve">360万元</w:t>
      </w:r>
      <w:r>
        <w:rPr>
          <w:rFonts w:hint="eastAsia"/>
        </w:rPr>
        <w:t xml:space="preserve">。</w:t>
      </w:r>
      <w:bookmarkEnd w:id="16"/>
      <w:r/>
      <w:r/>
    </w:p>
    <w:p>
      <w:pPr>
        <w:ind w:firstLine="480"/>
        <w:spacing w:line="360" w:lineRule="auto"/>
        <w:rPr>
          <w:rFonts w:hint="eastAsia"/>
        </w:rPr>
      </w:pPr>
      <w:r>
        <w:rPr>
          <w:rFonts w:hint="eastAsia"/>
        </w:rPr>
        <w:t xml:space="preserve">5</w:t>
      </w:r>
      <w:r>
        <w:t xml:space="preserve">.采购需求：</w:t>
      </w:r>
      <w:bookmarkStart w:id="17" w:name="OLE_LINK2"/>
      <w:r>
        <w:rPr>
          <w:rFonts w:hint="eastAsia"/>
        </w:rPr>
        <w:t xml:space="preserve">本项目采购内容为</w:t>
      </w:r>
      <w:r>
        <w:rPr>
          <w:rFonts w:hint="eastAsia"/>
        </w:rPr>
        <w:t xml:space="preserve">江苏理工学院武进绿建区协同创新园新建工程二期项目9号楼、33号楼厨房设备采购</w:t>
      </w:r>
      <w:r>
        <w:rPr>
          <w:rFonts w:hint="eastAsia"/>
        </w:rPr>
        <w:t xml:space="preserve">及</w:t>
      </w:r>
      <w:r>
        <w:rPr>
          <w:rFonts w:hint="eastAsia"/>
        </w:rPr>
        <w:t xml:space="preserve">安装项目，具体内容包括：设备的制造（采购）、运输、装卸、安装、调试、测试、售后服务、技术培训等，直至通过采购单位及其他相关部门的验收以及质量保修、免费维保等全部工作。</w:t>
      </w:r>
      <w:r/>
    </w:p>
    <w:p>
      <w:pPr>
        <w:ind w:firstLine="480"/>
        <w:spacing w:line="360" w:lineRule="auto"/>
        <w:rPr>
          <w:rFonts w:hint="eastAsia"/>
        </w:rPr>
      </w:pPr>
      <w:r>
        <w:rPr>
          <w:rFonts w:hint="eastAsia"/>
        </w:rPr>
        <w:t xml:space="preserve">本项目共分二个包，每个投标人可以同时投二个包，但同一家单位最多只能中一个包。包别具体如下：一包：9号楼厨房设备采购及安装项目；二包：33号楼厨房设备采购及安装项目。</w:t>
      </w:r>
      <w:bookmarkEnd w:id="17"/>
      <w:r/>
    </w:p>
    <w:p>
      <w:pPr>
        <w:ind w:firstLine="480"/>
        <w:spacing w:line="360" w:lineRule="auto"/>
        <w:rPr>
          <w:rFonts w:hint="eastAsia"/>
        </w:rPr>
      </w:pPr>
      <w:r>
        <w:rPr>
          <w:rFonts w:hint="eastAsia"/>
        </w:rPr>
        <w:t xml:space="preserve">6</w:t>
      </w:r>
      <w:r>
        <w:t xml:space="preserve">.合同履行期限：</w:t>
      </w:r>
      <w:bookmarkStart w:id="18" w:name="_Hlk216766752"/>
      <w:r>
        <w:rPr>
          <w:rFonts w:hint="eastAsia"/>
        </w:rPr>
        <w:t xml:space="preserve">本项目供货期为合同签订后60个日历天内将所有厨房设备送至采购人指定地点并安装调试到位，并具备验收条件；质保期为验收合格后3年。</w:t>
      </w:r>
      <w:bookmarkEnd w:id="18"/>
      <w:r/>
      <w:r/>
    </w:p>
    <w:p>
      <w:pPr>
        <w:ind w:firstLine="480"/>
        <w:spacing w:line="360" w:lineRule="auto"/>
        <w:rPr>
          <w:rFonts w:hint="eastAsia"/>
        </w:rPr>
      </w:pPr>
      <w:r>
        <w:rPr>
          <w:rFonts w:hint="eastAsia"/>
        </w:rPr>
        <w:t xml:space="preserve">7</w:t>
      </w:r>
      <w:r>
        <w:t xml:space="preserve">.本项目是否接受联合体投标：否</w:t>
      </w:r>
      <w:r>
        <w:rPr>
          <w:rFonts w:hint="eastAsia"/>
        </w:rPr>
        <w:t xml:space="preserve">。</w:t>
      </w:r>
      <w:r/>
    </w:p>
    <w:p>
      <w:pPr>
        <w:ind w:firstLine="480"/>
        <w:spacing w:line="360" w:lineRule="auto"/>
        <w:rPr>
          <w:rFonts w:hint="eastAsia"/>
        </w:rPr>
      </w:pPr>
      <w:r>
        <w:rPr>
          <w:rFonts w:hint="eastAsia"/>
        </w:rPr>
        <w:t xml:space="preserve">8.</w:t>
      </w:r>
      <w:r>
        <w:t xml:space="preserve">本项目是否接受</w:t>
      </w:r>
      <w:r>
        <w:rPr>
          <w:rFonts w:hint="eastAsia"/>
        </w:rPr>
        <w:t xml:space="preserve">进口产品</w:t>
      </w:r>
      <w:r>
        <w:t xml:space="preserve">投标：否</w:t>
      </w:r>
      <w:r>
        <w:rPr>
          <w:rFonts w:hint="eastAsia"/>
        </w:rPr>
        <w:t xml:space="preserve">。</w:t>
      </w:r>
      <w:r/>
    </w:p>
    <w:p>
      <w:pPr>
        <w:pStyle w:val="896"/>
        <w:ind w:firstLine="482"/>
        <w:jc w:val="left"/>
        <w:spacing w:before="0" w:line="360" w:lineRule="auto"/>
        <w:rPr>
          <w:rFonts w:hint="eastAsia" w:ascii="宋体" w:hAnsi="宋体" w:eastAsia="宋体"/>
          <w:sz w:val="24"/>
          <w:szCs w:val="24"/>
        </w:rPr>
      </w:pPr>
      <w:r/>
      <w:bookmarkStart w:id="19" w:name="_Toc35393622"/>
      <w:r/>
      <w:bookmarkStart w:id="20" w:name="_Toc35393791"/>
      <w:r/>
      <w:bookmarkStart w:id="21" w:name="_Toc28359080"/>
      <w:r/>
      <w:bookmarkStart w:id="22" w:name="_Toc28359003"/>
      <w:r/>
      <w:bookmarkStart w:id="23" w:name="_Toc152683016"/>
      <w:r/>
      <w:bookmarkStart w:id="24" w:name="_Toc152683375"/>
      <w:r/>
      <w:bookmarkStart w:id="25" w:name="_Toc152683535"/>
      <w:r/>
      <w:bookmarkStart w:id="26" w:name="_Toc197636549"/>
      <w:r/>
      <w:bookmarkStart w:id="27" w:name="_Toc197636600"/>
      <w:r>
        <w:rPr>
          <w:rFonts w:ascii="宋体" w:hAnsi="宋体" w:eastAsia="宋体"/>
          <w:sz w:val="24"/>
          <w:szCs w:val="24"/>
        </w:rPr>
        <w:t xml:space="preserve">二、申请人的资格要求</w:t>
      </w:r>
      <w:bookmarkEnd w:id="19"/>
      <w:r/>
      <w:bookmarkEnd w:id="20"/>
      <w:r/>
      <w:bookmarkEnd w:id="21"/>
      <w:r/>
      <w:bookmarkEnd w:id="22"/>
      <w:r>
        <w:rPr>
          <w:rFonts w:ascii="宋体" w:hAnsi="宋体" w:eastAsia="宋体"/>
          <w:sz w:val="24"/>
          <w:szCs w:val="24"/>
        </w:rPr>
        <w:t xml:space="preserve">（须同时满足）</w:t>
      </w:r>
      <w:bookmarkEnd w:id="23"/>
      <w:r/>
      <w:bookmarkEnd w:id="24"/>
      <w:r/>
      <w:bookmarkEnd w:id="25"/>
      <w:r/>
      <w:bookmarkEnd w:id="26"/>
      <w:r/>
      <w:bookmarkEnd w:id="27"/>
      <w:r/>
      <w:r/>
    </w:p>
    <w:p>
      <w:pPr>
        <w:ind w:firstLine="480"/>
        <w:spacing w:line="360" w:lineRule="auto"/>
        <w:rPr>
          <w:rFonts w:hint="eastAsia"/>
        </w:rPr>
      </w:pPr>
      <w:r>
        <w:t xml:space="preserve">1.满足《中华人民共和国政府采购法》第二十二条规定</w:t>
      </w:r>
      <w:r>
        <w:rPr>
          <w:rFonts w:hint="eastAsia"/>
        </w:rPr>
        <w:t xml:space="preserve">以及下列情形：</w:t>
      </w:r>
      <w:r/>
    </w:p>
    <w:p>
      <w:pPr>
        <w:ind w:firstLine="480"/>
        <w:spacing w:line="360" w:lineRule="auto"/>
        <w:rPr>
          <w:rFonts w:hint="eastAsia"/>
        </w:rPr>
      </w:pPr>
      <w:r>
        <w:rPr>
          <w:rFonts w:hint="eastAsia"/>
        </w:rPr>
        <w:t xml:space="preserve">1.1未被“信用中国”网站（WWW.creditchina.gov.cn）或“中国政府采购网”网站（www.ccgp.gov.cn）列入失信被执行人、</w:t>
      </w:r>
      <w:r>
        <w:rPr>
          <w:rFonts w:hint="eastAsia"/>
        </w:rPr>
        <w:t xml:space="preserve">重大税收违法失信主体名单</w:t>
      </w:r>
      <w:r>
        <w:rPr>
          <w:rFonts w:hint="eastAsia"/>
        </w:rPr>
        <w:t xml:space="preserve">、政府采购严重失信行为记录名单；</w:t>
      </w:r>
      <w:r/>
    </w:p>
    <w:p>
      <w:pPr>
        <w:ind w:firstLine="480"/>
        <w:spacing w:line="360" w:lineRule="auto"/>
        <w:rPr>
          <w:rFonts w:hint="eastAsia"/>
        </w:rPr>
      </w:pPr>
      <w:r>
        <w:rPr>
          <w:rFonts w:hint="eastAsia"/>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rFonts w:hint="eastAsia"/>
        </w:rPr>
      </w:pPr>
      <w:r/>
      <w:bookmarkStart w:id="28" w:name="_Toc28359004"/>
      <w:r/>
      <w:bookmarkStart w:id="29" w:name="_Toc28359081"/>
      <w:r>
        <w:t xml:space="preserve">2.落实政府采购政策需满足的资格要求：</w:t>
      </w:r>
      <w:r/>
    </w:p>
    <w:p>
      <w:pPr>
        <w:ind w:firstLine="480"/>
        <w:spacing w:line="360" w:lineRule="auto"/>
        <w:rPr>
          <w:rFonts w:hint="eastAsia"/>
        </w:rPr>
      </w:pPr>
      <w:r>
        <w:t xml:space="preserve">2.1 中小企业政策</w:t>
      </w:r>
      <w:r/>
    </w:p>
    <w:p>
      <w:pPr>
        <w:ind w:firstLine="480"/>
        <w:spacing w:line="360" w:lineRule="auto"/>
        <w:rPr>
          <w:rFonts w:hint="eastAsia"/>
        </w:rPr>
      </w:pPr>
      <w:r/>
      <w:bookmarkStart w:id="30" w:name="OLE_LINK45"/>
      <w:r>
        <w:t xml:space="preserve">本项目专门面向中小企业采购。即：提供的货物全部由符合政策要求的中小企业制造。</w:t>
      </w:r>
      <w:bookmarkEnd w:id="30"/>
      <w:r/>
    </w:p>
    <w:p>
      <w:pPr>
        <w:ind w:firstLine="480"/>
        <w:spacing w:line="360" w:lineRule="auto"/>
        <w:rPr>
          <w:rFonts w:hint="eastAsia"/>
          <w:i/>
          <w:iCs/>
          <w:u w:val="single"/>
        </w:rPr>
      </w:pPr>
      <w:r>
        <w:t xml:space="preserve">3.本项目的特定资格要求：</w:t>
      </w:r>
      <w:r/>
    </w:p>
    <w:p>
      <w:pPr>
        <w:ind w:firstLine="480"/>
        <w:spacing w:line="360" w:lineRule="auto"/>
        <w:rPr>
          <w:rFonts w:hint="eastAsia"/>
        </w:rPr>
      </w:pPr>
      <w:r/>
      <w:bookmarkStart w:id="31" w:name="OLE_LINK44"/>
      <w:r>
        <w:t xml:space="preserve">3.1本项目是否接受分支机构参与投标：否</w:t>
      </w:r>
      <w:r>
        <w:rPr>
          <w:rFonts w:hint="eastAsia"/>
        </w:rPr>
        <w:t xml:space="preserve">。</w:t>
      </w:r>
      <w:r/>
    </w:p>
    <w:p>
      <w:pPr>
        <w:ind w:firstLine="480"/>
        <w:spacing w:line="360" w:lineRule="auto"/>
        <w:rPr>
          <w:rFonts w:hint="eastAsia"/>
        </w:rPr>
      </w:pPr>
      <w:r>
        <w:t xml:space="preserve">3.2本项目是否属于政府购买服务：</w:t>
      </w:r>
      <w:r>
        <w:rPr>
          <w:rFonts w:hint="eastAsia"/>
        </w:rPr>
        <w:t xml:space="preserve">否</w:t>
      </w:r>
      <w:r>
        <w:rPr>
          <w:rFonts w:hint="eastAsia"/>
        </w:rPr>
        <w:t xml:space="preserve">。</w:t>
      </w:r>
      <w:r>
        <w:rPr>
          <w:rFonts w:hint="eastAsia"/>
        </w:rPr>
        <w:t xml:space="preserve"> </w:t>
      </w:r>
      <w:r/>
    </w:p>
    <w:p>
      <w:pPr>
        <w:ind w:firstLine="480"/>
        <w:spacing w:line="360" w:lineRule="auto"/>
        <w:tabs>
          <w:tab w:val="left" w:pos="900" w:leader="none"/>
          <w:tab w:val="left" w:pos="1134" w:leader="none"/>
          <w:tab w:val="left" w:pos="1589" w:leader="none"/>
          <w:tab w:val="left" w:pos="5521" w:leader="none"/>
        </w:tabs>
        <w:rPr>
          <w:rFonts w:hint="eastAsia"/>
        </w:rPr>
      </w:pPr>
      <w:r>
        <w:t xml:space="preserve">3.3其他特定资格要求：</w:t>
      </w:r>
      <w:bookmarkStart w:id="32" w:name="_Toc35393792"/>
      <w:r/>
      <w:bookmarkStart w:id="33" w:name="_Toc35393623"/>
      <w:r/>
      <w:bookmarkStart w:id="34" w:name="_Toc152683017"/>
      <w:r/>
      <w:bookmarkStart w:id="35" w:name="_Toc152683376"/>
      <w:r/>
      <w:bookmarkStart w:id="36" w:name="_Toc152683536"/>
      <w:r/>
      <w:bookmarkEnd w:id="28"/>
      <w:r/>
      <w:bookmarkEnd w:id="29"/>
      <w:r>
        <w:rPr>
          <w:rFonts w:hint="eastAsia"/>
        </w:rPr>
        <w:t xml:space="preserve">无</w:t>
      </w:r>
      <w:r>
        <w:t xml:space="preserve">。</w:t>
      </w:r>
      <w:bookmarkEnd w:id="31"/>
      <w:r/>
      <w:r/>
    </w:p>
    <w:p>
      <w:pPr>
        <w:pStyle w:val="896"/>
        <w:ind w:firstLine="482"/>
        <w:jc w:val="left"/>
        <w:spacing w:before="0" w:line="360" w:lineRule="auto"/>
        <w:widowControl/>
        <w:rPr>
          <w:rFonts w:hint="eastAsia" w:ascii="宋体" w:hAnsi="宋体" w:eastAsia="宋体"/>
          <w:sz w:val="24"/>
          <w:szCs w:val="24"/>
        </w:rPr>
      </w:pPr>
      <w:r>
        <w:rPr>
          <w:rFonts w:ascii="宋体" w:hAnsi="宋体" w:eastAsia="宋体"/>
          <w:sz w:val="24"/>
          <w:szCs w:val="24"/>
        </w:rPr>
        <w:t xml:space="preserve">三、获取招标文件</w:t>
      </w:r>
      <w:bookmarkEnd w:id="32"/>
      <w:r/>
      <w:bookmarkEnd w:id="33"/>
      <w:r/>
      <w:bookmarkEnd w:id="34"/>
      <w:r/>
      <w:bookmarkEnd w:id="35"/>
      <w:r/>
      <w:bookmarkEnd w:id="36"/>
      <w:r/>
      <w:r/>
    </w:p>
    <w:p>
      <w:pPr>
        <w:ind w:firstLine="480"/>
        <w:spacing w:line="360" w:lineRule="auto"/>
        <w:rPr>
          <w:rFonts w:hint="eastAsia"/>
        </w:rPr>
      </w:pPr>
      <w:r/>
      <w:bookmarkStart w:id="37" w:name="_Toc28359005"/>
      <w:r/>
      <w:bookmarkStart w:id="38" w:name="_Toc28359082"/>
      <w:r/>
      <w:bookmarkStart w:id="39" w:name="_Toc35393793"/>
      <w:r/>
      <w:bookmarkStart w:id="40" w:name="_Toc35393624"/>
      <w:r>
        <w:rPr>
          <w:rFonts w:hint="eastAsia"/>
        </w:rPr>
        <w:t xml:space="preserve">1.时间：</w:t>
      </w:r>
      <w:r>
        <w:rPr>
          <w:rFonts w:hint="eastAsia"/>
        </w:rPr>
        <w:t xml:space="preserve">自</w:t>
      </w:r>
      <w:r>
        <w:rPr>
          <w:rFonts w:hint="eastAsia"/>
        </w:rPr>
        <w:t xml:space="preserve">招标</w:t>
      </w:r>
      <w:r>
        <w:rPr>
          <w:rFonts w:hint="eastAsia"/>
        </w:rPr>
        <w:t xml:space="preserve">文件公告发布之日起5个工作日。</w:t>
      </w:r>
      <w:r/>
    </w:p>
    <w:p>
      <w:pPr>
        <w:ind w:firstLine="480"/>
        <w:spacing w:line="360" w:lineRule="auto"/>
        <w:rPr>
          <w:rFonts w:hint="eastAsia"/>
        </w:rPr>
      </w:pPr>
      <w:r>
        <w:rPr>
          <w:rFonts w:hint="eastAsia"/>
        </w:rPr>
        <w:t xml:space="preserve">2.方式：在“苏采云”系统自行免费下载招标文件。</w:t>
      </w:r>
      <w:r/>
    </w:p>
    <w:p>
      <w:pPr>
        <w:ind w:firstLine="480"/>
        <w:spacing w:line="360" w:lineRule="auto"/>
        <w:rPr>
          <w:rFonts w:hint="eastAsia"/>
        </w:rPr>
      </w:pPr>
      <w:r>
        <w:rPr>
          <w:rFonts w:hint="eastAsia"/>
        </w:rPr>
        <w:t xml:space="preserve">注：因本项目通过“苏采云”系统采用电子化不见面交易的模式，供应商通过“江苏政府采购网”或“常州市政府采购网”下载招标文件后，还必须登录“苏采云”系统下载电子招标文件方可通过系统进行投标文件的编制和提交。</w:t>
      </w:r>
      <w:r/>
    </w:p>
    <w:p>
      <w:pPr>
        <w:ind w:firstLine="480"/>
        <w:spacing w:line="360" w:lineRule="auto"/>
        <w:rPr>
          <w:rFonts w:hint="eastAsia"/>
        </w:rPr>
      </w:pPr>
      <w:r>
        <w:rPr>
          <w:rFonts w:hint="eastAsia"/>
        </w:rPr>
        <w:t xml:space="preserve"> 3.下载方式: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p>
    <w:p>
      <w:pPr>
        <w:pStyle w:val="896"/>
        <w:ind w:firstLine="482"/>
        <w:jc w:val="left"/>
        <w:spacing w:before="0" w:line="360" w:lineRule="auto"/>
        <w:widowControl/>
        <w:rPr>
          <w:rFonts w:hint="eastAsia" w:ascii="宋体" w:hAnsi="宋体" w:eastAsia="宋体"/>
          <w:sz w:val="24"/>
          <w:szCs w:val="24"/>
        </w:rPr>
      </w:pPr>
      <w:r/>
      <w:bookmarkStart w:id="41" w:name="_Toc152683018"/>
      <w:r/>
      <w:bookmarkStart w:id="42" w:name="_Toc152683377"/>
      <w:r/>
      <w:bookmarkStart w:id="43" w:name="_Toc152683537"/>
      <w:r/>
      <w:bookmarkStart w:id="44" w:name="_Toc197636550"/>
      <w:r/>
      <w:bookmarkStart w:id="45" w:name="_Toc197636601"/>
      <w:r>
        <w:rPr>
          <w:rFonts w:ascii="宋体" w:hAnsi="宋体" w:eastAsia="宋体"/>
          <w:sz w:val="24"/>
          <w:szCs w:val="24"/>
        </w:rPr>
        <w:t xml:space="preserve">四、投标文件</w:t>
      </w:r>
      <w:bookmarkEnd w:id="37"/>
      <w:r/>
      <w:bookmarkEnd w:id="38"/>
      <w:r/>
      <w:bookmarkEnd w:id="39"/>
      <w:r/>
      <w:bookmarkEnd w:id="40"/>
      <w:r>
        <w:rPr>
          <w:rFonts w:hint="eastAsia" w:ascii="宋体" w:hAnsi="宋体" w:eastAsia="宋体"/>
          <w:sz w:val="24"/>
          <w:szCs w:val="24"/>
        </w:rPr>
        <w:t xml:space="preserve">提交</w:t>
      </w:r>
      <w:bookmarkEnd w:id="41"/>
      <w:r/>
      <w:bookmarkEnd w:id="42"/>
      <w:r/>
      <w:bookmarkEnd w:id="43"/>
      <w:r/>
      <w:bookmarkEnd w:id="44"/>
      <w:r/>
      <w:bookmarkEnd w:id="45"/>
      <w:r/>
      <w:r/>
    </w:p>
    <w:p>
      <w:pPr>
        <w:ind w:firstLine="480"/>
        <w:spacing w:line="360" w:lineRule="auto"/>
        <w:rPr>
          <w:rFonts w:hint="eastAsia"/>
          <w:bCs/>
          <w:u w:val="single"/>
        </w:rPr>
      </w:pPr>
      <w:r/>
      <w:bookmarkStart w:id="46" w:name="_Toc28359084"/>
      <w:r/>
      <w:bookmarkStart w:id="47" w:name="_Toc35393794"/>
      <w:r/>
      <w:bookmarkStart w:id="48" w:name="_Toc28359007"/>
      <w:r/>
      <w:bookmarkStart w:id="49" w:name="_Toc35393625"/>
      <w:r>
        <w:rPr>
          <w:rFonts w:hint="eastAsia"/>
          <w:lang w:bidi="ar"/>
        </w:rPr>
        <w:t xml:space="preserve">1、</w:t>
      </w:r>
      <w:r>
        <w:rPr>
          <w:lang w:bidi="ar"/>
        </w:rPr>
        <w:t xml:space="preserve">截止时间：</w:t>
      </w:r>
      <w:r>
        <w:rPr>
          <w:color w:val="ee0000"/>
          <w:lang w:bidi="ar"/>
        </w:rPr>
        <w:t xml:space="preserve">202</w:t>
      </w:r>
      <w:r>
        <w:rPr>
          <w:rFonts w:hint="eastAsia"/>
          <w:color w:val="ee0000"/>
          <w:lang w:bidi="ar"/>
        </w:rPr>
        <w:t xml:space="preserve">6</w:t>
      </w:r>
      <w:r>
        <w:rPr>
          <w:color w:val="ee0000"/>
          <w:lang w:bidi="ar"/>
        </w:rPr>
        <w:t xml:space="preserve">年</w:t>
      </w:r>
      <w:r>
        <w:rPr>
          <w:rFonts w:hint="eastAsia"/>
          <w:color w:val="ee0000"/>
          <w:lang w:bidi="ar"/>
        </w:rPr>
        <w:t xml:space="preserve">2</w:t>
      </w:r>
      <w:r>
        <w:rPr>
          <w:color w:val="ee0000"/>
          <w:lang w:bidi="ar"/>
        </w:rPr>
        <w:t xml:space="preserve">月</w:t>
      </w:r>
      <w:r>
        <w:rPr>
          <w:rFonts w:hint="eastAsia"/>
          <w:color w:val="ee0000"/>
          <w:lang w:bidi="ar"/>
        </w:rPr>
        <w:t xml:space="preserve">12</w:t>
      </w:r>
      <w:r>
        <w:rPr>
          <w:color w:val="ee0000"/>
          <w:lang w:bidi="ar"/>
        </w:rPr>
        <w:t xml:space="preserve">日</w:t>
      </w:r>
      <w:r>
        <w:rPr>
          <w:lang w:bidi="ar"/>
        </w:rPr>
        <w:t xml:space="preserve">09</w:t>
      </w:r>
      <w:r>
        <w:rPr>
          <w:rFonts w:hint="eastAsia"/>
          <w:lang w:bidi="ar"/>
        </w:rPr>
        <w:t xml:space="preserve">:</w:t>
      </w:r>
      <w:r>
        <w:rPr>
          <w:rFonts w:hint="eastAsia"/>
          <w:lang w:bidi="ar"/>
        </w:rPr>
        <w:t xml:space="preserve">00</w:t>
      </w:r>
      <w:r>
        <w:rPr>
          <w:bCs/>
          <w:lang w:bidi="ar"/>
        </w:rPr>
        <w:t xml:space="preserve">（北京时间）</w:t>
      </w:r>
      <w:r>
        <w:rPr>
          <w:rFonts w:hint="eastAsia"/>
          <w:bCs/>
        </w:rPr>
        <w:t xml:space="preserve">。</w:t>
      </w:r>
      <w:r/>
    </w:p>
    <w:p>
      <w:pPr>
        <w:ind w:firstLine="480"/>
        <w:spacing w:line="360" w:lineRule="auto"/>
        <w:rPr>
          <w:rFonts w:hint="eastAsia"/>
        </w:rPr>
      </w:pPr>
      <w:r>
        <w:rPr>
          <w:rFonts w:hint="eastAsia"/>
        </w:rPr>
        <w:t xml:space="preserve">2、地点：</w:t>
      </w:r>
      <w:r>
        <w:rPr>
          <w:rFonts w:hint="eastAsia"/>
        </w:rPr>
        <w:t xml:space="preserve">“苏采云”政府采购一体化平台</w:t>
      </w:r>
      <w:r/>
    </w:p>
    <w:p>
      <w:pPr>
        <w:ind w:firstLine="482"/>
        <w:spacing w:line="360" w:lineRule="auto"/>
        <w:rPr>
          <w:rFonts w:hint="eastAsia"/>
          <w:b/>
        </w:rPr>
      </w:pPr>
      <w:r>
        <w:rPr>
          <w:rFonts w:hint="eastAsia"/>
          <w:b/>
        </w:rPr>
        <w:t xml:space="preserve">五、开启</w:t>
      </w:r>
      <w:r/>
    </w:p>
    <w:p>
      <w:pPr>
        <w:ind w:firstLine="480"/>
        <w:spacing w:line="360" w:lineRule="auto"/>
        <w:rPr>
          <w:rFonts w:hint="eastAsia"/>
          <w:bCs/>
          <w:u w:val="single"/>
        </w:rPr>
      </w:pPr>
      <w:r>
        <w:rPr>
          <w:rFonts w:hint="eastAsia"/>
          <w:lang w:bidi="ar"/>
        </w:rPr>
        <w:t xml:space="preserve">1、开标</w:t>
      </w:r>
      <w:r>
        <w:rPr>
          <w:lang w:bidi="ar"/>
        </w:rPr>
        <w:t xml:space="preserve">时间：</w:t>
      </w:r>
      <w:r>
        <w:rPr>
          <w:color w:val="ee0000"/>
          <w:lang w:bidi="ar"/>
        </w:rPr>
        <w:t xml:space="preserve">202</w:t>
      </w:r>
      <w:r>
        <w:rPr>
          <w:rFonts w:hint="eastAsia"/>
          <w:color w:val="ee0000"/>
          <w:lang w:bidi="ar"/>
        </w:rPr>
        <w:t xml:space="preserve">6</w:t>
      </w:r>
      <w:r>
        <w:rPr>
          <w:color w:val="ee0000"/>
          <w:lang w:bidi="ar"/>
        </w:rPr>
        <w:t xml:space="preserve">年</w:t>
      </w:r>
      <w:r>
        <w:rPr>
          <w:rFonts w:hint="eastAsia"/>
          <w:color w:val="ee0000"/>
          <w:lang w:bidi="ar"/>
        </w:rPr>
        <w:t xml:space="preserve">2月</w:t>
      </w:r>
      <w:r>
        <w:rPr>
          <w:rFonts w:hint="eastAsia"/>
          <w:color w:val="ee0000"/>
          <w:lang w:bidi="ar"/>
        </w:rPr>
        <w:t xml:space="preserve">12</w:t>
      </w:r>
      <w:r>
        <w:rPr>
          <w:color w:val="ee0000"/>
          <w:lang w:bidi="ar"/>
        </w:rPr>
        <w:t xml:space="preserve">日</w:t>
      </w:r>
      <w:r>
        <w:rPr>
          <w:lang w:bidi="ar"/>
        </w:rPr>
        <w:t xml:space="preserve">09</w:t>
      </w:r>
      <w:r>
        <w:rPr>
          <w:rFonts w:hint="eastAsia"/>
          <w:lang w:bidi="ar"/>
        </w:rPr>
        <w:t xml:space="preserve">:</w:t>
      </w:r>
      <w:r>
        <w:rPr>
          <w:rFonts w:hint="eastAsia"/>
          <w:lang w:bidi="ar"/>
        </w:rPr>
        <w:t xml:space="preserve">0</w:t>
      </w:r>
      <w:r>
        <w:rPr>
          <w:lang w:bidi="ar"/>
        </w:rPr>
        <w:t xml:space="preserve">0</w:t>
      </w:r>
      <w:r>
        <w:rPr>
          <w:bCs/>
          <w:lang w:bidi="ar"/>
        </w:rPr>
        <w:t xml:space="preserve">（北京时间）</w:t>
      </w:r>
      <w:r>
        <w:rPr>
          <w:rFonts w:hint="eastAsia"/>
          <w:bCs/>
        </w:rPr>
        <w:t xml:space="preserve">。</w:t>
      </w:r>
      <w:r/>
    </w:p>
    <w:p>
      <w:pPr>
        <w:ind w:firstLine="480"/>
        <w:spacing w:line="360" w:lineRule="auto"/>
        <w:rPr>
          <w:rFonts w:hint="eastAsia"/>
        </w:rPr>
      </w:pPr>
      <w:r>
        <w:rPr>
          <w:rFonts w:hint="eastAsia"/>
        </w:rPr>
        <w:t xml:space="preserve">2、地点：</w:t>
      </w:r>
      <w:r>
        <w:rPr>
          <w:rFonts w:hint="eastAsia"/>
        </w:rPr>
        <w:t xml:space="preserve">“苏采云”政府采购一体化平台</w:t>
      </w:r>
      <w:r/>
    </w:p>
    <w:p>
      <w:pPr>
        <w:pStyle w:val="896"/>
        <w:ind w:firstLine="482"/>
        <w:jc w:val="left"/>
        <w:spacing w:before="0" w:line="360" w:lineRule="auto"/>
        <w:rPr>
          <w:rFonts w:hint="eastAsia" w:ascii="宋体" w:hAnsi="宋体" w:eastAsia="宋体"/>
          <w:sz w:val="24"/>
          <w:szCs w:val="24"/>
        </w:rPr>
      </w:pPr>
      <w:r/>
      <w:bookmarkStart w:id="50" w:name="_Toc152683019"/>
      <w:r/>
      <w:bookmarkStart w:id="51" w:name="_Toc152683378"/>
      <w:r/>
      <w:bookmarkStart w:id="52" w:name="_Toc152683538"/>
      <w:r/>
      <w:bookmarkStart w:id="53" w:name="_Toc197636551"/>
      <w:r/>
      <w:bookmarkStart w:id="54" w:name="_Toc197636602"/>
      <w:r>
        <w:rPr>
          <w:rFonts w:hint="eastAsia" w:ascii="宋体" w:hAnsi="宋体" w:eastAsia="宋体"/>
          <w:sz w:val="24"/>
          <w:szCs w:val="24"/>
        </w:rPr>
        <w:t xml:space="preserve">六</w:t>
      </w:r>
      <w:r>
        <w:rPr>
          <w:rFonts w:ascii="宋体" w:hAnsi="宋体" w:eastAsia="宋体"/>
          <w:sz w:val="24"/>
          <w:szCs w:val="24"/>
        </w:rPr>
        <w:t xml:space="preserve">、公告期限</w:t>
      </w:r>
      <w:bookmarkEnd w:id="46"/>
      <w:r/>
      <w:bookmarkEnd w:id="47"/>
      <w:r/>
      <w:bookmarkEnd w:id="48"/>
      <w:r/>
      <w:bookmarkEnd w:id="49"/>
      <w:r/>
      <w:bookmarkEnd w:id="50"/>
      <w:r/>
      <w:bookmarkEnd w:id="51"/>
      <w:r/>
      <w:bookmarkEnd w:id="52"/>
      <w:r/>
      <w:bookmarkEnd w:id="53"/>
      <w:r/>
      <w:bookmarkEnd w:id="54"/>
      <w:r/>
      <w:r/>
    </w:p>
    <w:p>
      <w:pPr>
        <w:ind w:firstLine="480"/>
        <w:spacing w:line="360" w:lineRule="auto"/>
        <w:rPr>
          <w:rFonts w:hint="eastAsia"/>
        </w:rPr>
      </w:pPr>
      <w:r>
        <w:t xml:space="preserve">自本公告发布之日起5个工作日。</w:t>
      </w:r>
      <w:r/>
    </w:p>
    <w:p>
      <w:pPr>
        <w:pStyle w:val="896"/>
        <w:ind w:firstLine="482"/>
        <w:jc w:val="left"/>
        <w:spacing w:before="0" w:line="360" w:lineRule="auto"/>
        <w:rPr>
          <w:rFonts w:hint="eastAsia" w:ascii="宋体" w:hAnsi="宋体" w:eastAsia="宋体"/>
          <w:sz w:val="24"/>
          <w:szCs w:val="24"/>
        </w:rPr>
      </w:pPr>
      <w:r/>
      <w:bookmarkStart w:id="55" w:name="_Toc35393626"/>
      <w:r/>
      <w:bookmarkStart w:id="56" w:name="_Toc35393795"/>
      <w:r/>
      <w:bookmarkStart w:id="57" w:name="_Toc152683020"/>
      <w:r/>
      <w:bookmarkStart w:id="58" w:name="_Toc152683379"/>
      <w:r/>
      <w:bookmarkStart w:id="59" w:name="_Toc152683539"/>
      <w:r/>
      <w:bookmarkStart w:id="60" w:name="_Toc197636552"/>
      <w:r/>
      <w:bookmarkStart w:id="61" w:name="_Toc197636603"/>
      <w:r>
        <w:rPr>
          <w:rFonts w:hint="eastAsia" w:ascii="宋体" w:hAnsi="宋体" w:eastAsia="宋体"/>
          <w:sz w:val="24"/>
          <w:szCs w:val="24"/>
        </w:rPr>
        <w:t xml:space="preserve">七</w:t>
      </w:r>
      <w:r>
        <w:rPr>
          <w:rFonts w:ascii="宋体" w:hAnsi="宋体" w:eastAsia="宋体"/>
          <w:sz w:val="24"/>
          <w:szCs w:val="24"/>
        </w:rPr>
        <w:t xml:space="preserve">、其他补充事宜</w:t>
      </w:r>
      <w:bookmarkEnd w:id="55"/>
      <w:r/>
      <w:bookmarkEnd w:id="56"/>
      <w:r/>
      <w:bookmarkEnd w:id="57"/>
      <w:r/>
      <w:bookmarkEnd w:id="58"/>
      <w:r/>
      <w:bookmarkEnd w:id="59"/>
      <w:r/>
      <w:bookmarkEnd w:id="60"/>
      <w:r/>
      <w:bookmarkEnd w:id="61"/>
      <w:r/>
      <w:r/>
    </w:p>
    <w:p>
      <w:pPr>
        <w:ind w:firstLine="482"/>
        <w:spacing w:line="360" w:lineRule="auto"/>
        <w:rPr>
          <w:rFonts w:hint="eastAsia"/>
        </w:rPr>
      </w:pPr>
      <w:r/>
      <w:bookmarkStart w:id="62" w:name="OLE_LINK46"/>
      <w:r/>
      <w:bookmarkStart w:id="63" w:name="_Toc35393627"/>
      <w:r/>
      <w:bookmarkStart w:id="64" w:name="_Toc28359008"/>
      <w:r/>
      <w:bookmarkStart w:id="65" w:name="_Toc35393796"/>
      <w:r/>
      <w:bookmarkStart w:id="66" w:name="_Toc28359085"/>
      <w:r/>
      <w:bookmarkStart w:id="67" w:name="_Toc152683021"/>
      <w:r/>
      <w:bookmarkStart w:id="68" w:name="_Toc152683380"/>
      <w:r/>
      <w:bookmarkStart w:id="69" w:name="_Toc152683540"/>
      <w:r>
        <w:rPr>
          <w:rFonts w:hint="eastAsia"/>
          <w:b/>
          <w:bCs/>
        </w:rPr>
        <w:t xml:space="preserve">1、投标保证金：</w:t>
      </w:r>
      <w:r>
        <w:rPr>
          <w:rFonts w:hint="eastAsia"/>
        </w:rPr>
        <w:t xml:space="preserve">无需缴纳。</w:t>
      </w:r>
      <w:r/>
    </w:p>
    <w:p>
      <w:pPr>
        <w:ind w:firstLine="482"/>
        <w:spacing w:line="360" w:lineRule="auto"/>
        <w:rPr>
          <w:rFonts w:hint="eastAsia"/>
        </w:rPr>
      </w:pPr>
      <w:r>
        <w:rPr>
          <w:rFonts w:hint="eastAsia"/>
          <w:b/>
          <w:bCs/>
        </w:rPr>
        <w:t xml:space="preserve">2</w:t>
      </w:r>
      <w:bookmarkStart w:id="70" w:name="_Hlk150161828"/>
      <w:r>
        <w:rPr>
          <w:rFonts w:hint="eastAsia"/>
          <w:b/>
          <w:bCs/>
        </w:rPr>
        <w:t xml:space="preserve">、CA办理注意事项：</w:t>
      </w:r>
      <w:r>
        <w:rPr>
          <w:rFonts w:hint="eastAsia"/>
        </w:rPr>
        <w:t xml:space="preserve">根据江苏省财政厅《关于更换全省政府采购交易系统CA数字证书和电子签章的通知》（苏财购〔2023〕101号），“苏采云”政府采购交易系统的CA数字证书、</w:t>
      </w:r>
      <w:r>
        <w:rPr>
          <w:rFonts w:hint="eastAsia"/>
        </w:rPr>
        <w:t xml:space="preserve">电子签章已更换为江苏省电子政务证书认证中心CA和方正国际软件（北京）有限公司电子签章。如果投标人通过“苏采云”系统参与政府采购项目，需要更换CA数字证书和电子签章。领取CA和办理电子签章请至常州市政务服务中心1-1号四楼大厅CA办理窗口办理，或者登录常州市政府采购网“下载中心”，下载并查阅 “江苏省政府采购数字证书CA及电子签章办理指南”。具体办理指南和操作手册见常州市政府采购网——《“苏采云”系统供应商操作手册》（以下简称《操作手册》），请根据办理指南进行注册并按《操作手册》要求制作、上传电子投标文件。 </w:t>
      </w:r>
      <w:bookmarkEnd w:id="70"/>
      <w:r/>
      <w:r/>
    </w:p>
    <w:p>
      <w:pPr>
        <w:ind w:firstLine="482"/>
        <w:spacing w:line="360" w:lineRule="auto"/>
        <w:rPr>
          <w:rFonts w:hint="eastAsia"/>
        </w:rPr>
      </w:pPr>
      <w:r>
        <w:rPr>
          <w:rFonts w:hint="eastAsia"/>
          <w:b/>
          <w:bCs/>
        </w:rPr>
        <w:t xml:space="preserve">3、采购文件获取注意事项：</w:t>
      </w:r>
      <w:r>
        <w:rPr>
          <w:rFonts w:hint="eastAsia"/>
        </w:rPr>
        <w:t xml:space="preserve">本项目通过“苏采云”系统采用电子化不见面交易的模式，供应商通过“江苏政府采购网”、“常州市政府采购网”下载采购文件后，还必须登录“苏采云”系统下载电子采购文件方可通过系统进行响应文件的编制和提交。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82"/>
        <w:spacing w:line="360" w:lineRule="auto"/>
        <w:rPr>
          <w:rFonts w:hint="eastAsia"/>
        </w:rPr>
      </w:pPr>
      <w:r>
        <w:rPr>
          <w:rFonts w:hint="eastAsia"/>
          <w:b/>
          <w:bCs/>
        </w:rPr>
        <w:t xml:space="preserve">4、关于常州市中小企业政府采购信用融资：</w:t>
      </w:r>
      <w:r>
        <w:rPr>
          <w:rFonts w:hint="eastAsia"/>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ind w:firstLine="482"/>
        <w:spacing w:line="360" w:lineRule="auto"/>
        <w:rPr>
          <w:rFonts w:hint="eastAsia"/>
          <w:b/>
          <w:bCs/>
        </w:rPr>
      </w:pPr>
      <w:r>
        <w:rPr>
          <w:rFonts w:hint="eastAsia"/>
          <w:b/>
          <w:bCs/>
        </w:rPr>
        <w:t xml:space="preserve">5、采购公告内容与采购文件不一致的，以采购文件为准。</w:t>
      </w:r>
      <w:r/>
    </w:p>
    <w:p>
      <w:pPr>
        <w:pStyle w:val="896"/>
        <w:ind w:firstLine="482"/>
        <w:jc w:val="left"/>
        <w:spacing w:before="0" w:line="360" w:lineRule="auto"/>
        <w:rPr>
          <w:rFonts w:hint="eastAsia" w:ascii="宋体" w:hAnsi="宋体" w:eastAsia="宋体"/>
          <w:sz w:val="24"/>
          <w:szCs w:val="24"/>
        </w:rPr>
      </w:pPr>
      <w:r/>
      <w:bookmarkStart w:id="71" w:name="_Toc197636553"/>
      <w:r/>
      <w:bookmarkStart w:id="72" w:name="_Toc197636604"/>
      <w:r/>
      <w:bookmarkEnd w:id="62"/>
      <w:r>
        <w:rPr>
          <w:rFonts w:hint="eastAsia" w:ascii="宋体" w:hAnsi="宋体" w:eastAsia="宋体"/>
          <w:sz w:val="24"/>
          <w:szCs w:val="24"/>
        </w:rPr>
        <w:t xml:space="preserve">八</w:t>
      </w:r>
      <w:r>
        <w:rPr>
          <w:rFonts w:ascii="宋体" w:hAnsi="宋体" w:eastAsia="宋体"/>
          <w:sz w:val="24"/>
          <w:szCs w:val="24"/>
        </w:rPr>
        <w:t xml:space="preserve">、对本次招标提出询问，请按以下方式联系。</w:t>
      </w:r>
      <w:bookmarkEnd w:id="63"/>
      <w:r/>
      <w:bookmarkEnd w:id="64"/>
      <w:r/>
      <w:bookmarkEnd w:id="65"/>
      <w:r/>
      <w:bookmarkEnd w:id="66"/>
      <w:r/>
      <w:bookmarkEnd w:id="67"/>
      <w:r/>
      <w:bookmarkEnd w:id="68"/>
      <w:r/>
      <w:bookmarkEnd w:id="69"/>
      <w:r/>
      <w:bookmarkEnd w:id="71"/>
      <w:r/>
      <w:bookmarkEnd w:id="72"/>
      <w:r/>
      <w:r/>
    </w:p>
    <w:p>
      <w:pPr>
        <w:spacing w:line="360" w:lineRule="auto"/>
        <w:rPr>
          <w:rFonts w:hint="eastAsia"/>
        </w:rPr>
      </w:pPr>
      <w:r>
        <w:t xml:space="preserve">　　　1.采购人信息</w:t>
      </w:r>
      <w:r/>
    </w:p>
    <w:p>
      <w:pPr>
        <w:ind w:left="240" w:firstLine="480"/>
        <w:spacing w:line="360" w:lineRule="auto"/>
        <w:rPr>
          <w:rFonts w:hint="eastAsia"/>
        </w:rPr>
      </w:pPr>
      <w:r/>
      <w:bookmarkStart w:id="73" w:name="_Toc28359086"/>
      <w:r/>
      <w:bookmarkStart w:id="74" w:name="_Toc28359009"/>
      <w:r>
        <w:t xml:space="preserve">名称：</w:t>
      </w:r>
      <w:r>
        <w:t xml:space="preserve"> </w:t>
      </w:r>
      <w:r>
        <w:rPr>
          <w:rFonts w:hint="eastAsia"/>
        </w:rPr>
        <w:t xml:space="preserve">常州市武进绿色建筑产业集聚示范区管理委员会</w:t>
      </w:r>
      <w:r/>
    </w:p>
    <w:p>
      <w:pPr>
        <w:ind w:left="240" w:firstLine="480"/>
        <w:spacing w:line="360" w:lineRule="auto"/>
        <w:rPr>
          <w:rFonts w:hint="eastAsia"/>
        </w:rPr>
      </w:pPr>
      <w:r>
        <w:t xml:space="preserve">地址：</w:t>
      </w:r>
      <w:r>
        <w:t xml:space="preserve"> </w:t>
      </w:r>
      <w:r>
        <w:rPr>
          <w:rFonts w:hint="eastAsia"/>
        </w:rPr>
        <w:t xml:space="preserve">常州市武进区牛塘镇延政西大道8号维绿大厦</w:t>
      </w:r>
      <w:r/>
    </w:p>
    <w:p>
      <w:pPr>
        <w:pStyle w:val="907"/>
        <w:ind w:firstLine="480"/>
        <w:spacing w:line="360" w:lineRule="auto"/>
        <w:rPr>
          <w:rFonts w:hint="eastAsia" w:ascii="宋体" w:hAnsi="宋体" w:cs="Times New Roman"/>
          <w:color w:val="auto"/>
        </w:rPr>
      </w:pPr>
      <w:r>
        <w:rPr>
          <w:rFonts w:hint="eastAsia" w:ascii="宋体" w:hAnsi="宋体" w:cs="Times New Roman"/>
          <w:color w:val="auto"/>
        </w:rPr>
        <w:t xml:space="preserve"> </w:t>
      </w:r>
      <w:r>
        <w:rPr>
          <w:rFonts w:ascii="宋体" w:hAnsi="宋体" w:cs="Times New Roman"/>
          <w:color w:val="auto"/>
        </w:rPr>
        <w:t xml:space="preserve"> </w:t>
      </w:r>
      <w:r>
        <w:rPr>
          <w:rFonts w:hint="eastAsia" w:ascii="宋体" w:hAnsi="宋体" w:cs="Times New Roman"/>
          <w:color w:val="auto"/>
        </w:rPr>
        <w:t xml:space="preserve">联系人：</w:t>
      </w:r>
      <w:r>
        <w:rPr>
          <w:rFonts w:hint="eastAsia" w:ascii="宋体" w:hAnsi="宋体" w:cs="Times New Roman"/>
          <w:color w:val="auto"/>
        </w:rPr>
        <w:t xml:space="preserve">周先生</w:t>
      </w:r>
      <w:r/>
    </w:p>
    <w:p>
      <w:pPr>
        <w:ind w:left="240" w:firstLine="480"/>
        <w:spacing w:line="360" w:lineRule="auto"/>
        <w:rPr>
          <w:rFonts w:hint="eastAsia"/>
        </w:rPr>
      </w:pPr>
      <w:r>
        <w:t xml:space="preserve">联系方式：</w:t>
      </w:r>
      <w:bookmarkStart w:id="75" w:name="OLE_LINK42"/>
      <w:r>
        <w:t xml:space="preserve">0519-8865500</w:t>
      </w:r>
      <w:r>
        <w:rPr>
          <w:rFonts w:hint="eastAsia"/>
        </w:rPr>
        <w:t xml:space="preserve">9</w:t>
      </w:r>
      <w:bookmarkEnd w:id="75"/>
      <w:r/>
      <w:r/>
    </w:p>
    <w:p>
      <w:pPr>
        <w:ind w:firstLine="720"/>
        <w:spacing w:line="360" w:lineRule="auto"/>
        <w:rPr>
          <w:rFonts w:hint="eastAsia"/>
        </w:rPr>
      </w:pPr>
      <w:r/>
      <w:bookmarkStart w:id="76" w:name="_Toc28359010"/>
      <w:r/>
      <w:bookmarkStart w:id="77" w:name="_Toc28359087"/>
      <w:r/>
      <w:bookmarkEnd w:id="73"/>
      <w:r/>
      <w:bookmarkEnd w:id="74"/>
      <w:r>
        <w:t xml:space="preserve">2.采购代理机构信息</w:t>
      </w:r>
      <w:r/>
    </w:p>
    <w:p>
      <w:pPr>
        <w:ind w:firstLine="720"/>
        <w:spacing w:line="360" w:lineRule="auto"/>
        <w:rPr>
          <w:rFonts w:hint="eastAsia"/>
        </w:rPr>
      </w:pPr>
      <w:r/>
      <w:bookmarkStart w:id="78" w:name="_Hlk152661833"/>
      <w:r>
        <w:t xml:space="preserve">名    称：</w:t>
      </w:r>
      <w:r>
        <w:rPr>
          <w:rFonts w:hint="eastAsia"/>
        </w:rPr>
        <w:t xml:space="preserve">常州新一诚项目管理有限公司</w:t>
      </w:r>
      <w:r/>
    </w:p>
    <w:p>
      <w:pPr>
        <w:ind w:left="1188" w:hanging="298"/>
        <w:spacing w:line="360" w:lineRule="auto"/>
        <w:rPr>
          <w:rFonts w:hint="eastAsia"/>
        </w:rPr>
      </w:pPr>
      <w:r>
        <w:t xml:space="preserve">地    址：</w:t>
      </w:r>
      <w:r>
        <w:rPr>
          <w:rFonts w:hint="eastAsia"/>
        </w:rPr>
        <w:t xml:space="preserve">常州市武进区湖塘镇长安路9-33号</w:t>
      </w:r>
      <w:r/>
    </w:p>
    <w:p>
      <w:pPr>
        <w:ind w:left="1130" w:firstLine="960"/>
        <w:spacing w:line="360" w:lineRule="auto"/>
        <w:rPr>
          <w:rFonts w:hint="eastAsia"/>
        </w:rPr>
      </w:pPr>
      <w:r>
        <w:rPr>
          <w:rFonts w:hint="eastAsia"/>
        </w:rPr>
        <w:t xml:space="preserve">(阳湖名城北门进小区往东28米上3楼)</w:t>
      </w:r>
      <w:r/>
    </w:p>
    <w:p>
      <w:pPr>
        <w:ind w:left="1188" w:hanging="298"/>
        <w:spacing w:line="360" w:lineRule="auto"/>
        <w:rPr>
          <w:rFonts w:hint="eastAsia"/>
        </w:rPr>
      </w:pPr>
      <w:r>
        <w:t xml:space="preserve">联系</w:t>
      </w:r>
      <w:r>
        <w:rPr>
          <w:rFonts w:hint="eastAsia"/>
        </w:rPr>
        <w:t xml:space="preserve">人</w:t>
      </w:r>
      <w:r>
        <w:t xml:space="preserve">：</w:t>
      </w:r>
      <w:r>
        <w:rPr>
          <w:rFonts w:hint="eastAsia"/>
        </w:rPr>
        <w:t xml:space="preserve">钱</w:t>
      </w:r>
      <w:r>
        <w:rPr>
          <w:rFonts w:hint="eastAsia"/>
        </w:rPr>
        <w:t xml:space="preserve">工</w:t>
      </w:r>
      <w:r>
        <w:rPr>
          <w:rFonts w:hint="eastAsia"/>
        </w:rPr>
        <w:t xml:space="preserve"> </w:t>
      </w:r>
      <w:r>
        <w:t xml:space="preserve">  </w:t>
      </w:r>
      <w:r/>
    </w:p>
    <w:p>
      <w:pPr>
        <w:ind w:left="1188" w:hanging="298"/>
        <w:spacing w:line="360" w:lineRule="auto"/>
        <w:rPr>
          <w:rFonts w:hint="eastAsia"/>
          <w:u w:val="single"/>
        </w:rPr>
      </w:pPr>
      <w:r>
        <w:rPr>
          <w:rFonts w:hint="eastAsia"/>
        </w:rPr>
        <w:t xml:space="preserve">联系方式：</w:t>
      </w:r>
      <w:r>
        <w:t xml:space="preserve">0519-88865352</w:t>
      </w:r>
      <w:r/>
    </w:p>
    <w:p>
      <w:pPr>
        <w:ind w:left="1188" w:hanging="298"/>
        <w:spacing w:line="360" w:lineRule="auto"/>
        <w:rPr>
          <w:rFonts w:hint="eastAsia"/>
          <w:bCs/>
          <w:u w:val="single"/>
        </w:rPr>
      </w:pPr>
      <w:r/>
      <w:bookmarkStart w:id="79" w:name="_Hlk152662625"/>
      <w:r/>
      <w:bookmarkEnd w:id="78"/>
      <w:r>
        <w:rPr>
          <w:bCs/>
        </w:rPr>
        <w:t xml:space="preserve">3.项目联系方式</w:t>
      </w:r>
      <w:r/>
    </w:p>
    <w:p>
      <w:pPr>
        <w:pStyle w:val="935"/>
        <w:ind w:left="1188" w:hanging="298"/>
        <w:spacing w:line="360" w:lineRule="auto"/>
        <w:rPr>
          <w:rFonts w:hAnsi="宋体"/>
          <w:sz w:val="24"/>
          <w:szCs w:val="24"/>
          <w:u w:val="single"/>
          <w:lang w:bidi="ar"/>
        </w:rPr>
      </w:pPr>
      <w:r>
        <w:rPr>
          <w:rFonts w:hAnsi="宋体"/>
          <w:sz w:val="24"/>
          <w:szCs w:val="24"/>
        </w:rPr>
        <w:t xml:space="preserve">项目联系人：</w:t>
      </w:r>
      <w:r>
        <w:rPr>
          <w:rFonts w:hAnsi="宋体"/>
          <w:sz w:val="24"/>
          <w:szCs w:val="24"/>
        </w:rPr>
        <w:t xml:space="preserve">钱</w:t>
      </w:r>
      <w:r>
        <w:rPr>
          <w:rFonts w:hAnsi="宋体"/>
          <w:sz w:val="24"/>
          <w:szCs w:val="24"/>
        </w:rPr>
        <w:t xml:space="preserve">工</w:t>
      </w:r>
      <w:r/>
    </w:p>
    <w:p>
      <w:pPr>
        <w:pStyle w:val="935"/>
        <w:ind w:left="1188" w:hanging="298"/>
        <w:spacing w:line="360" w:lineRule="auto"/>
        <w:rPr>
          <w:rFonts w:hAnsi="宋体"/>
          <w:sz w:val="24"/>
          <w:szCs w:val="24"/>
        </w:rPr>
      </w:pPr>
      <w:r>
        <w:rPr>
          <w:rFonts w:hAnsi="宋体"/>
          <w:sz w:val="24"/>
          <w:szCs w:val="24"/>
        </w:rPr>
        <w:t xml:space="preserve">电      话：0519-88865352</w:t>
      </w:r>
      <w:bookmarkEnd w:id="79"/>
      <w:r/>
    </w:p>
    <w:p>
      <w:pPr>
        <w:pStyle w:val="907"/>
        <w:spacing w:line="360" w:lineRule="auto"/>
        <w:rPr>
          <w:rFonts w:hint="eastAsia" w:ascii="宋体" w:hAnsi="宋体"/>
          <w:color w:val="auto"/>
        </w:rPr>
      </w:pPr>
      <w:r>
        <w:rPr>
          <w:rFonts w:hint="eastAsia" w:ascii="宋体" w:hAnsi="宋体"/>
          <w:color w:val="auto"/>
        </w:rPr>
      </w:r>
      <w:bookmarkEnd w:id="76"/>
      <w:bookmarkEnd w:id="77"/>
      <w:r/>
    </w:p>
    <w:p>
      <w:pPr>
        <w:pStyle w:val="935"/>
        <w:ind w:firstLine="720"/>
        <w:spacing w:line="360" w:lineRule="auto"/>
        <w:rPr>
          <w:rFonts w:hAnsi="宋体"/>
          <w:sz w:val="24"/>
          <w:szCs w:val="24"/>
        </w:rPr>
      </w:pPr>
      <w:r>
        <w:rPr>
          <w:rFonts w:hAnsi="宋体"/>
          <w:sz w:val="24"/>
          <w:szCs w:val="24"/>
        </w:rPr>
        <w:t xml:space="preserve"> </w:t>
      </w:r>
      <w:r/>
    </w:p>
    <w:p>
      <w:pPr>
        <w:ind w:firstLine="5880"/>
        <w:jc w:val="right"/>
        <w:spacing w:line="360" w:lineRule="auto"/>
        <w:rPr>
          <w:rFonts w:hint="eastAsia"/>
        </w:rPr>
      </w:pPr>
      <w:r>
        <w:rPr>
          <w:rFonts w:hint="eastAsia"/>
        </w:rPr>
      </w:r>
      <w:r/>
    </w:p>
    <w:p>
      <w:pPr>
        <w:jc w:val="center"/>
        <w:spacing w:line="360" w:lineRule="auto"/>
        <w:rPr>
          <w:rFonts w:hint="eastAsia"/>
        </w:rPr>
        <w:sectPr>
          <w:footnotePr/>
          <w:endnotePr/>
          <w:type w:val="nextPage"/>
          <w:pgSz w:w="11907" w:h="16840" w:orient="portrait"/>
          <w:pgMar w:top="1440" w:right="1080" w:bottom="1440" w:left="1080" w:header="851" w:footer="850" w:gutter="0"/>
          <w:pgNumType w:start="1"/>
          <w:cols w:num="1" w:sep="0" w:space="720" w:equalWidth="1"/>
          <w:docGrid w:linePitch="360"/>
        </w:sectPr>
        <w:outlineLvl w:val="0"/>
      </w:pPr>
      <w:r>
        <w:br w:type="page" w:clear="all"/>
      </w:r>
      <w:bookmarkStart w:id="80" w:name="_Toc226965856"/>
      <w:r/>
      <w:bookmarkStart w:id="81" w:name="_Toc305158928"/>
      <w:r/>
      <w:bookmarkStart w:id="82" w:name="_Toc99301420"/>
      <w:r/>
      <w:bookmarkStart w:id="83" w:name="_Toc305158854"/>
      <w:r/>
      <w:bookmarkStart w:id="84" w:name="_Toc353873938"/>
      <w:r/>
      <w:bookmarkStart w:id="85" w:name="_Toc195842950"/>
      <w:r/>
      <w:bookmarkStart w:id="86" w:name="_Toc150774783"/>
      <w:r/>
      <w:bookmarkStart w:id="87" w:name="_Toc127161488"/>
      <w:r/>
      <w:bookmarkStart w:id="88" w:name="_Toc353825548"/>
      <w:r/>
      <w:bookmarkStart w:id="89" w:name="_Toc264969275"/>
      <w:r/>
      <w:bookmarkStart w:id="90" w:name="_Toc512937850"/>
      <w:r/>
      <w:bookmarkStart w:id="91" w:name="_Toc127151777"/>
      <w:r/>
      <w:bookmarkStart w:id="92" w:name="_Toc265228423"/>
      <w:r/>
      <w:bookmarkStart w:id="93" w:name="_Toc152683381"/>
      <w:r/>
      <w:bookmarkStart w:id="94" w:name="_Toc197636605"/>
      <w:r/>
      <w:r/>
    </w:p>
    <w:p>
      <w:pPr>
        <w:jc w:val="center"/>
        <w:spacing w:line="360" w:lineRule="auto"/>
        <w:rPr>
          <w:rFonts w:hint="eastAsia"/>
          <w:b/>
          <w:sz w:val="32"/>
          <w:szCs w:val="32"/>
        </w:rPr>
        <w:outlineLvl w:val="0"/>
      </w:pPr>
      <w:r>
        <w:rPr>
          <w:b/>
          <w:sz w:val="36"/>
          <w:szCs w:val="36"/>
        </w:rPr>
        <w:t xml:space="preserve">第二章   投标人须知</w:t>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r/>
    </w:p>
    <w:p>
      <w:pPr>
        <w:pStyle w:val="896"/>
        <w:spacing w:before="0" w:line="360" w:lineRule="auto"/>
        <w:tabs>
          <w:tab w:val="center" w:pos="4592" w:leader="none"/>
          <w:tab w:val="left" w:pos="7860" w:leader="none"/>
        </w:tabs>
        <w:rPr>
          <w:rFonts w:hint="eastAsia" w:ascii="宋体" w:hAnsi="宋体" w:eastAsia="宋体"/>
          <w:sz w:val="32"/>
          <w:szCs w:val="32"/>
        </w:rPr>
      </w:pPr>
      <w:r/>
      <w:bookmarkStart w:id="95" w:name="_Toc152683023"/>
      <w:r/>
      <w:bookmarkStart w:id="96" w:name="_Toc152683382"/>
      <w:r/>
      <w:bookmarkStart w:id="97" w:name="_Toc152683542"/>
      <w:r/>
      <w:bookmarkStart w:id="98" w:name="_Toc197636555"/>
      <w:r/>
      <w:bookmarkStart w:id="99" w:name="_Toc197636606"/>
      <w:r/>
      <w:bookmarkStart w:id="100" w:name="_Toc520356144"/>
      <w:r/>
      <w:bookmarkStart w:id="101" w:name="_Toc164229360"/>
      <w:r/>
      <w:bookmarkStart w:id="102" w:name="_Toc127151519"/>
      <w:r/>
      <w:bookmarkStart w:id="103" w:name="_Toc151193617"/>
      <w:r/>
      <w:bookmarkStart w:id="104" w:name="_Toc150509270"/>
      <w:r/>
      <w:bookmarkStart w:id="105" w:name="_Toc150480757"/>
      <w:r/>
      <w:bookmarkStart w:id="106" w:name="_Toc149720812"/>
      <w:r/>
      <w:bookmarkStart w:id="107" w:name="_Toc195842884"/>
      <w:r/>
      <w:bookmarkStart w:id="108" w:name="_Toc142311021"/>
      <w:r/>
      <w:bookmarkStart w:id="109" w:name="_Toc164608788"/>
      <w:r/>
      <w:bookmarkStart w:id="110" w:name="_Toc226337215"/>
      <w:r/>
      <w:bookmarkStart w:id="111" w:name="_Toc127161433"/>
      <w:r/>
      <w:bookmarkStart w:id="112" w:name="_Toc127151720"/>
      <w:r/>
      <w:bookmarkStart w:id="113" w:name="_Toc151193833"/>
      <w:r/>
      <w:bookmarkStart w:id="114" w:name="_Toc164351613"/>
      <w:r/>
      <w:bookmarkStart w:id="115" w:name="_Toc151190146"/>
      <w:r/>
      <w:bookmarkStart w:id="116" w:name="_Toc150774619"/>
      <w:r/>
      <w:bookmarkStart w:id="117" w:name="_Toc151193761"/>
      <w:r/>
      <w:bookmarkStart w:id="118" w:name="_Toc226965792"/>
      <w:r/>
      <w:bookmarkStart w:id="119" w:name="_Toc226309763"/>
      <w:r/>
      <w:bookmarkStart w:id="120" w:name="_Toc150774724"/>
      <w:r/>
      <w:bookmarkStart w:id="121" w:name="_Toc164608633"/>
      <w:r/>
      <w:bookmarkStart w:id="122" w:name="_Toc151193907"/>
      <w:r/>
      <w:bookmarkStart w:id="123" w:name="_Toc151193689"/>
      <w:r/>
      <w:bookmarkStart w:id="124" w:name="_Toc164229214"/>
      <w:r/>
      <w:bookmarkStart w:id="125" w:name="_Toc226965709"/>
      <w:r>
        <w:rPr>
          <w:rFonts w:ascii="宋体" w:hAnsi="宋体" w:eastAsia="宋体"/>
          <w:sz w:val="32"/>
          <w:szCs w:val="32"/>
        </w:rPr>
        <w:t xml:space="preserve">第一节</w:t>
      </w:r>
      <w:r>
        <w:rPr>
          <w:rFonts w:hint="eastAsia" w:ascii="宋体" w:hAnsi="宋体" w:eastAsia="宋体"/>
          <w:sz w:val="32"/>
          <w:szCs w:val="32"/>
        </w:rPr>
        <w:t xml:space="preserve"> </w:t>
      </w:r>
      <w:bookmarkStart w:id="126" w:name="_Hlk202794778"/>
      <w:r>
        <w:rPr>
          <w:rFonts w:ascii="宋体" w:hAnsi="宋体" w:eastAsia="宋体"/>
          <w:sz w:val="32"/>
          <w:szCs w:val="32"/>
        </w:rPr>
        <w:t xml:space="preserve">投标人须知资料表</w:t>
      </w:r>
      <w:bookmarkEnd w:id="95"/>
      <w:r/>
      <w:bookmarkEnd w:id="96"/>
      <w:r/>
      <w:bookmarkEnd w:id="97"/>
      <w:r/>
      <w:bookmarkEnd w:id="98"/>
      <w:r/>
      <w:bookmarkEnd w:id="99"/>
      <w:r/>
      <w:r/>
    </w:p>
    <w:p>
      <w:pPr>
        <w:ind w:firstLine="480"/>
        <w:spacing w:line="360" w:lineRule="auto"/>
        <w:rPr>
          <w:rFonts w:hint="eastAsia"/>
        </w:rPr>
      </w:pPr>
      <w:r/>
      <w:bookmarkStart w:id="127" w:name="_Hlk160541853"/>
      <w:r>
        <w:t xml:space="preserve">本表是对投标人须知的具体补充和修改，如有矛盾，均以本资料表为准。标记“■”的选项意为适用于本项目，标记“□”的选项意为不适用于本项目。</w:t>
      </w:r>
      <w:bookmarkEnd w:id="127"/>
      <w:r/>
      <w:r/>
    </w:p>
    <w:tbl>
      <w:tblPr>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88"/>
        <w:gridCol w:w="1701"/>
        <w:gridCol w:w="7540"/>
      </w:tblGrid>
      <w:tr>
        <w:trPr>
          <w:jc w:val="center"/>
          <w:trHeight w:val="594"/>
          <w:tblHeader/>
        </w:trPr>
        <w:tc>
          <w:tcPr>
            <w:tcW w:w="988" w:type="dxa"/>
            <w:vAlign w:val="center"/>
            <w:textDirection w:val="lrTb"/>
            <w:noWrap w:val="false"/>
          </w:tcPr>
          <w:p>
            <w:pPr>
              <w:jc w:val="center"/>
              <w:rPr>
                <w:rFonts w:hint="eastAsia"/>
                <w:b/>
                <w:bCs/>
              </w:rPr>
            </w:pPr>
            <w:r>
              <w:rPr>
                <w:rFonts w:hint="eastAsia"/>
                <w:b/>
              </w:rPr>
              <w:t xml:space="preserve">序号</w:t>
            </w:r>
            <w:r/>
          </w:p>
        </w:tc>
        <w:tc>
          <w:tcPr>
            <w:tcW w:w="1701" w:type="dxa"/>
            <w:vAlign w:val="center"/>
            <w:textDirection w:val="lrTb"/>
            <w:noWrap w:val="false"/>
          </w:tcPr>
          <w:p>
            <w:pPr>
              <w:jc w:val="center"/>
              <w:rPr>
                <w:rFonts w:hint="eastAsia"/>
                <w:b/>
                <w:bCs/>
              </w:rPr>
            </w:pPr>
            <w:r>
              <w:rPr>
                <w:b/>
                <w:bCs/>
              </w:rPr>
              <w:t xml:space="preserve">条目</w:t>
            </w:r>
            <w:r/>
          </w:p>
        </w:tc>
        <w:tc>
          <w:tcPr>
            <w:tcW w:w="7540" w:type="dxa"/>
            <w:vAlign w:val="center"/>
            <w:textDirection w:val="lrTb"/>
            <w:noWrap w:val="false"/>
          </w:tcPr>
          <w:p>
            <w:pPr>
              <w:jc w:val="center"/>
              <w:rPr>
                <w:rFonts w:hint="eastAsia"/>
                <w:b/>
                <w:bCs/>
              </w:rPr>
            </w:pPr>
            <w:r>
              <w:rPr>
                <w:b/>
                <w:bCs/>
              </w:rPr>
              <w:t xml:space="preserve">内容</w:t>
            </w:r>
            <w:r/>
          </w:p>
        </w:tc>
      </w:tr>
      <w:tr>
        <w:trPr>
          <w:jc w:val="center"/>
          <w:trHeight w:val="479"/>
        </w:trPr>
        <w:tc>
          <w:tcPr>
            <w:tcW w:w="988" w:type="dxa"/>
            <w:vAlign w:val="center"/>
            <w:textDirection w:val="lrTb"/>
            <w:noWrap w:val="false"/>
          </w:tcPr>
          <w:p>
            <w:pPr>
              <w:pStyle w:val="935"/>
              <w:jc w:val="center"/>
              <w:spacing w:line="360" w:lineRule="exact"/>
              <w:rPr>
                <w:rFonts w:hAnsi="宋体"/>
                <w:sz w:val="24"/>
                <w:szCs w:val="24"/>
              </w:rPr>
            </w:pPr>
            <w:r>
              <w:rPr>
                <w:rFonts w:hint="default" w:hAnsi="宋体"/>
                <w:sz w:val="24"/>
                <w:szCs w:val="24"/>
              </w:rPr>
              <w:t xml:space="preserve">1</w:t>
            </w:r>
            <w:r/>
          </w:p>
        </w:tc>
        <w:tc>
          <w:tcPr>
            <w:tcW w:w="1701" w:type="dxa"/>
            <w:vAlign w:val="center"/>
            <w:textDirection w:val="lrTb"/>
            <w:noWrap w:val="false"/>
          </w:tcPr>
          <w:p>
            <w:pPr>
              <w:jc w:val="center"/>
              <w:spacing w:line="360" w:lineRule="exact"/>
              <w:rPr>
                <w:rFonts w:hint="eastAsia"/>
              </w:rPr>
            </w:pPr>
            <w:r>
              <w:t xml:space="preserve">项目属性</w:t>
            </w:r>
            <w:r/>
          </w:p>
        </w:tc>
        <w:tc>
          <w:tcPr>
            <w:tcW w:w="7540" w:type="dxa"/>
            <w:vAlign w:val="center"/>
            <w:textDirection w:val="lrTb"/>
            <w:noWrap w:val="false"/>
          </w:tcPr>
          <w:p>
            <w:pPr>
              <w:spacing w:line="360" w:lineRule="exact"/>
              <w:rPr>
                <w:rFonts w:hint="eastAsia"/>
                <w:u w:val="single"/>
              </w:rPr>
            </w:pPr>
            <w:r>
              <w:t xml:space="preserve">项目属性：</w:t>
            </w:r>
            <w:r>
              <w:rPr>
                <w:rFonts w:hint="eastAsia"/>
              </w:rPr>
              <w:t xml:space="preserve">□</w:t>
            </w:r>
            <w:r>
              <w:t xml:space="preserve">服务</w:t>
            </w:r>
            <w:r>
              <w:rPr>
                <w:rFonts w:hint="eastAsia"/>
              </w:rPr>
              <w:t xml:space="preserve"> </w:t>
            </w:r>
            <w:r>
              <w:t xml:space="preserve"> </w:t>
            </w:r>
            <w:r>
              <w:rPr>
                <w:rFonts w:hint="eastAsia"/>
              </w:rPr>
              <w:t xml:space="preserve">■</w:t>
            </w:r>
            <w:r>
              <w:t xml:space="preserve">货物</w:t>
            </w:r>
            <w:r/>
          </w:p>
        </w:tc>
      </w:tr>
      <w:tr>
        <w:trPr>
          <w:jc w:val="center"/>
          <w:trHeight w:val="401"/>
        </w:trPr>
        <w:tc>
          <w:tcPr>
            <w:tcW w:w="988" w:type="dxa"/>
            <w:vAlign w:val="center"/>
            <w:textDirection w:val="lrTb"/>
            <w:noWrap w:val="false"/>
          </w:tcPr>
          <w:p>
            <w:pPr>
              <w:pStyle w:val="935"/>
              <w:jc w:val="center"/>
              <w:spacing w:line="360" w:lineRule="exact"/>
              <w:rPr>
                <w:rFonts w:hAnsi="宋体"/>
                <w:sz w:val="24"/>
                <w:szCs w:val="24"/>
              </w:rPr>
            </w:pPr>
            <w:r>
              <w:rPr>
                <w:rFonts w:hint="default" w:hAnsi="宋体"/>
                <w:sz w:val="24"/>
                <w:szCs w:val="24"/>
              </w:rPr>
              <w:t xml:space="preserve">2</w:t>
            </w:r>
            <w:r/>
          </w:p>
        </w:tc>
        <w:tc>
          <w:tcPr>
            <w:tcW w:w="1701" w:type="dxa"/>
            <w:vAlign w:val="center"/>
            <w:textDirection w:val="lrTb"/>
            <w:noWrap w:val="false"/>
          </w:tcPr>
          <w:p>
            <w:pPr>
              <w:jc w:val="center"/>
              <w:spacing w:line="360" w:lineRule="exact"/>
              <w:rPr>
                <w:rFonts w:hint="eastAsia"/>
              </w:rPr>
            </w:pPr>
            <w:r>
              <w:t xml:space="preserve">科研仪器设备</w:t>
            </w:r>
            <w:r/>
          </w:p>
        </w:tc>
        <w:tc>
          <w:tcPr>
            <w:tcW w:w="7540" w:type="dxa"/>
            <w:vAlign w:val="center"/>
            <w:textDirection w:val="lrTb"/>
            <w:noWrap w:val="false"/>
          </w:tcPr>
          <w:p>
            <w:pPr>
              <w:spacing w:line="360" w:lineRule="exact"/>
              <w:rPr>
                <w:rFonts w:hint="eastAsia"/>
              </w:rPr>
            </w:pPr>
            <w:r>
              <w:t xml:space="preserve">是否属于科研仪器设备采购项目：</w:t>
            </w:r>
            <w:r>
              <w:rPr>
                <w:rFonts w:ascii="Wingdings 2" w:hAnsi="Wingdings 2" w:eastAsia="Wingdings 2" w:cs="Wingdings 2"/>
              </w:rPr>
              <w:t xml:space="preserve">£</w:t>
            </w:r>
            <w:r>
              <w:t xml:space="preserve">是</w:t>
            </w:r>
            <w:r>
              <w:rPr>
                <w:b/>
              </w:rPr>
              <w:t xml:space="preserve">■</w:t>
            </w:r>
            <w:r>
              <w:t xml:space="preserve">否</w:t>
            </w:r>
            <w:r/>
          </w:p>
        </w:tc>
      </w:tr>
      <w:tr>
        <w:trPr>
          <w:jc w:val="center"/>
          <w:trHeight w:val="20"/>
        </w:trPr>
        <w:tc>
          <w:tcPr>
            <w:tcW w:w="988" w:type="dxa"/>
            <w:vAlign w:val="center"/>
            <w:textDirection w:val="lrTb"/>
            <w:noWrap w:val="false"/>
          </w:tcPr>
          <w:p>
            <w:pPr>
              <w:pStyle w:val="935"/>
              <w:jc w:val="center"/>
              <w:spacing w:line="360" w:lineRule="exact"/>
              <w:rPr>
                <w:rFonts w:hAnsi="宋体"/>
                <w:sz w:val="24"/>
                <w:szCs w:val="24"/>
              </w:rPr>
            </w:pPr>
            <w:r>
              <w:rPr>
                <w:rFonts w:hint="default" w:hAnsi="宋体"/>
                <w:sz w:val="24"/>
                <w:szCs w:val="24"/>
              </w:rPr>
              <w:t xml:space="preserve">3</w:t>
            </w:r>
            <w:r/>
          </w:p>
        </w:tc>
        <w:tc>
          <w:tcPr>
            <w:tcW w:w="1701" w:type="dxa"/>
            <w:vAlign w:val="center"/>
            <w:textDirection w:val="lrTb"/>
            <w:noWrap w:val="false"/>
          </w:tcPr>
          <w:p>
            <w:pPr>
              <w:jc w:val="center"/>
              <w:spacing w:line="360" w:lineRule="exact"/>
              <w:rPr>
                <w:rFonts w:hint="eastAsia"/>
              </w:rPr>
            </w:pPr>
            <w:r>
              <w:t xml:space="preserve">核心产品</w:t>
            </w:r>
            <w:r/>
          </w:p>
        </w:tc>
        <w:tc>
          <w:tcPr>
            <w:tcW w:w="7540" w:type="dxa"/>
            <w:vAlign w:val="center"/>
            <w:textDirection w:val="lrTb"/>
            <w:noWrap w:val="false"/>
          </w:tcPr>
          <w:p>
            <w:pPr>
              <w:pStyle w:val="935"/>
              <w:spacing w:line="360" w:lineRule="exact"/>
              <w:rPr>
                <w:rFonts w:hAnsi="宋体"/>
                <w:sz w:val="24"/>
                <w:szCs w:val="24"/>
              </w:rPr>
            </w:pPr>
            <w:r>
              <w:rPr>
                <w:rFonts w:hint="default" w:hAnsi="宋体"/>
                <w:sz w:val="24"/>
                <w:szCs w:val="24"/>
              </w:rPr>
              <w:t xml:space="preserve">关于核心产品本项目</w:t>
            </w:r>
            <w:r>
              <w:rPr>
                <w:rFonts w:hAnsi="宋体"/>
                <w:b/>
                <w:sz w:val="24"/>
              </w:rPr>
              <w:t xml:space="preserve">■</w:t>
            </w:r>
            <w:r>
              <w:rPr>
                <w:rFonts w:hint="default" w:hAnsi="宋体"/>
                <w:sz w:val="24"/>
                <w:szCs w:val="24"/>
              </w:rPr>
              <w:t xml:space="preserve">适用</w:t>
            </w:r>
            <w:r>
              <w:rPr>
                <w:rFonts w:ascii="Wingdings 2" w:hAnsi="Wingdings 2" w:eastAsia="Wingdings 2" w:cs="Wingdings 2"/>
                <w:sz w:val="24"/>
                <w:szCs w:val="24"/>
              </w:rPr>
              <w:t xml:space="preserve">£</w:t>
            </w:r>
            <w:r>
              <w:rPr>
                <w:rFonts w:hint="default" w:hAnsi="宋体"/>
                <w:sz w:val="24"/>
                <w:szCs w:val="24"/>
              </w:rPr>
              <w:t xml:space="preserve">不适用。</w:t>
            </w:r>
            <w:r/>
          </w:p>
          <w:p>
            <w:pPr>
              <w:pStyle w:val="935"/>
              <w:spacing w:line="360" w:lineRule="exact"/>
              <w:rPr>
                <w:rFonts w:hAnsi="宋体"/>
                <w:sz w:val="24"/>
                <w:szCs w:val="24"/>
              </w:rPr>
            </w:pPr>
            <w:r>
              <w:rPr>
                <w:rFonts w:ascii="Wingdings 2" w:hAnsi="Wingdings 2" w:eastAsia="Wingdings 2" w:cs="Wingdings 2"/>
                <w:sz w:val="24"/>
                <w:szCs w:val="24"/>
              </w:rPr>
              <w:t xml:space="preserve">£</w:t>
            </w:r>
            <w:r>
              <w:rPr>
                <w:rFonts w:hint="default" w:hAnsi="宋体"/>
                <w:sz w:val="24"/>
                <w:szCs w:val="24"/>
              </w:rPr>
              <w:t xml:space="preserve">本项目为单一产品采购项目。</w:t>
            </w:r>
            <w:r/>
          </w:p>
          <w:p>
            <w:pPr>
              <w:spacing w:line="360" w:lineRule="exact"/>
              <w:rPr>
                <w:rFonts w:hint="eastAsia"/>
              </w:rPr>
            </w:pPr>
            <w:r>
              <w:rPr>
                <w:b/>
              </w:rPr>
              <w:t xml:space="preserve">■</w:t>
            </w:r>
            <w:r>
              <w:t xml:space="preserve">本项目为非单一产品采购项目，核心产品为：</w:t>
            </w:r>
            <w:r>
              <w:rPr>
                <w:rFonts w:hint="eastAsia"/>
              </w:rPr>
              <w:t xml:space="preserve">一包</w:t>
            </w:r>
            <w:r>
              <w:rPr>
                <w:rFonts w:hint="eastAsia"/>
              </w:rPr>
              <w:t xml:space="preserve">：</w:t>
            </w:r>
            <w:r>
              <w:rPr>
                <w:rFonts w:hint="eastAsia"/>
                <w:b/>
                <w:bCs/>
                <w:u w:val="single"/>
              </w:rPr>
              <w:t xml:space="preserve">双头大锅灶（采购清单序号</w:t>
            </w:r>
            <w:r>
              <w:rPr>
                <w:rFonts w:hint="eastAsia"/>
                <w:b/>
                <w:bCs/>
                <w:u w:val="single"/>
              </w:rPr>
              <w:t xml:space="preserve"> </w:t>
            </w:r>
            <w:r>
              <w:rPr>
                <w:rFonts w:hint="eastAsia"/>
                <w:b/>
                <w:bCs/>
                <w:u w:val="single"/>
              </w:rPr>
              <w:t xml:space="preserve">62</w:t>
            </w:r>
            <w:r>
              <w:rPr>
                <w:rFonts w:hint="eastAsia"/>
                <w:b/>
                <w:bCs/>
                <w:u w:val="single"/>
              </w:rPr>
              <w:t xml:space="preserve">）</w:t>
            </w:r>
            <w:r>
              <w:rPr>
                <w:rFonts w:hint="eastAsia"/>
                <w:b/>
                <w:bCs/>
              </w:rPr>
              <w:t xml:space="preserve">；</w:t>
            </w:r>
            <w:r>
              <w:rPr>
                <w:rFonts w:hint="eastAsia"/>
                <w:b/>
                <w:bCs/>
              </w:rPr>
              <w:t xml:space="preserve">二包</w:t>
            </w:r>
            <w:r>
              <w:rPr>
                <w:rFonts w:hint="eastAsia"/>
                <w:b/>
                <w:bCs/>
              </w:rPr>
              <w:t xml:space="preserve">：</w:t>
            </w:r>
            <w:r>
              <w:rPr>
                <w:rFonts w:hint="eastAsia"/>
                <w:b/>
                <w:bCs/>
                <w:u w:val="single"/>
              </w:rPr>
              <w:t xml:space="preserve">双头大锅灶（采购清单序号</w:t>
            </w:r>
            <w:r>
              <w:rPr>
                <w:rFonts w:hint="eastAsia"/>
                <w:b/>
                <w:bCs/>
                <w:u w:val="single"/>
              </w:rPr>
              <w:t xml:space="preserve">64</w:t>
            </w:r>
            <w:r>
              <w:rPr>
                <w:rFonts w:hint="eastAsia"/>
                <w:b/>
                <w:bCs/>
                <w:u w:val="single"/>
              </w:rPr>
              <w:t xml:space="preserve">）</w:t>
            </w:r>
            <w:r/>
          </w:p>
        </w:tc>
      </w:tr>
      <w:tr>
        <w:trPr>
          <w:jc w:val="center"/>
          <w:trHeight w:val="20"/>
        </w:trPr>
        <w:tc>
          <w:tcPr>
            <w:tcW w:w="988" w:type="dxa"/>
            <w:vAlign w:val="center"/>
            <w:textDirection w:val="lrTb"/>
            <w:noWrap w:val="false"/>
          </w:tcPr>
          <w:p>
            <w:pPr>
              <w:pStyle w:val="935"/>
              <w:jc w:val="center"/>
              <w:spacing w:line="360" w:lineRule="exact"/>
              <w:rPr>
                <w:rFonts w:hAnsi="宋体"/>
                <w:sz w:val="24"/>
                <w:szCs w:val="24"/>
              </w:rPr>
            </w:pPr>
            <w:r>
              <w:rPr>
                <w:rFonts w:hAnsi="宋体"/>
                <w:sz w:val="24"/>
                <w:szCs w:val="24"/>
              </w:rPr>
              <w:t xml:space="preserve">4</w:t>
            </w:r>
            <w:r/>
          </w:p>
        </w:tc>
        <w:tc>
          <w:tcPr>
            <w:tcW w:w="1701" w:type="dxa"/>
            <w:vAlign w:val="center"/>
            <w:textDirection w:val="lrTb"/>
            <w:noWrap w:val="false"/>
          </w:tcPr>
          <w:p>
            <w:pPr>
              <w:jc w:val="center"/>
              <w:spacing w:line="360" w:lineRule="exact"/>
              <w:rPr>
                <w:rFonts w:hint="eastAsia"/>
              </w:rPr>
            </w:pPr>
            <w:r>
              <w:t xml:space="preserve">现场考察</w:t>
            </w:r>
            <w:r/>
          </w:p>
        </w:tc>
        <w:tc>
          <w:tcPr>
            <w:tcW w:w="7540" w:type="dxa"/>
            <w:vAlign w:val="center"/>
            <w:textDirection w:val="lrTb"/>
            <w:noWrap w:val="false"/>
          </w:tcPr>
          <w:p>
            <w:pPr>
              <w:spacing w:line="360" w:lineRule="exact"/>
              <w:rPr>
                <w:rFonts w:hint="eastAsia"/>
              </w:rPr>
            </w:pPr>
            <w:r>
              <w:rPr>
                <w:b/>
              </w:rPr>
              <w:t xml:space="preserve">■</w:t>
            </w:r>
            <w:r>
              <w:t xml:space="preserve">不组织</w:t>
            </w:r>
            <w:r/>
          </w:p>
          <w:p>
            <w:pPr>
              <w:spacing w:line="360" w:lineRule="exact"/>
              <w:rPr>
                <w:rFonts w:hint="eastAsia"/>
              </w:rPr>
            </w:pPr>
            <w:r>
              <w:rPr>
                <w:rFonts w:ascii="Wingdings 2" w:hAnsi="Wingdings 2" w:eastAsia="Wingdings 2" w:cs="Wingdings 2"/>
              </w:rPr>
              <w:t xml:space="preserve">£</w:t>
            </w:r>
            <w:r>
              <w:t xml:space="preserve">组织</w:t>
            </w:r>
            <w:r>
              <w:rPr>
                <w:rFonts w:hint="eastAsia"/>
              </w:rPr>
              <w:t xml:space="preserve">（</w:t>
            </w:r>
            <w:r>
              <w:t xml:space="preserve">考察时间：__年_月_日_</w:t>
            </w:r>
            <w:r>
              <w:rPr>
                <w:rFonts w:hint="eastAsia"/>
              </w:rPr>
              <w:t xml:space="preserve">时</w:t>
            </w:r>
            <w:r>
              <w:t xml:space="preserve">_</w:t>
            </w:r>
            <w:r>
              <w:rPr>
                <w:bCs/>
              </w:rPr>
              <w:t xml:space="preserve">分</w:t>
            </w:r>
            <w:r>
              <w:rPr>
                <w:rFonts w:hint="eastAsia"/>
                <w:bCs/>
              </w:rPr>
              <w:t xml:space="preserve">，</w:t>
            </w:r>
            <w:r>
              <w:t xml:space="preserve">考察地点：____________。</w:t>
            </w:r>
            <w:r>
              <w:rPr>
                <w:rFonts w:hint="eastAsia"/>
              </w:rPr>
              <w:t xml:space="preserve">）</w:t>
            </w:r>
            <w:r/>
          </w:p>
        </w:tc>
      </w:tr>
      <w:tr>
        <w:trPr>
          <w:jc w:val="center"/>
          <w:trHeight w:val="20"/>
        </w:trPr>
        <w:tc>
          <w:tcPr>
            <w:tcW w:w="988" w:type="dxa"/>
            <w:vAlign w:val="center"/>
            <w:textDirection w:val="lrTb"/>
            <w:noWrap w:val="false"/>
          </w:tcPr>
          <w:p>
            <w:pPr>
              <w:pStyle w:val="935"/>
              <w:jc w:val="center"/>
              <w:spacing w:line="360" w:lineRule="exact"/>
              <w:rPr>
                <w:rFonts w:hAnsi="宋体"/>
                <w:sz w:val="24"/>
                <w:szCs w:val="24"/>
              </w:rPr>
            </w:pPr>
            <w:r>
              <w:rPr>
                <w:rFonts w:hAnsi="宋体"/>
                <w:sz w:val="24"/>
                <w:szCs w:val="24"/>
              </w:rPr>
              <w:t xml:space="preserve">5</w:t>
            </w:r>
            <w:r/>
          </w:p>
        </w:tc>
        <w:tc>
          <w:tcPr>
            <w:tcW w:w="1701" w:type="dxa"/>
            <w:vAlign w:val="center"/>
            <w:textDirection w:val="lrTb"/>
            <w:noWrap w:val="false"/>
          </w:tcPr>
          <w:p>
            <w:pPr>
              <w:jc w:val="center"/>
              <w:spacing w:line="360" w:lineRule="exact"/>
              <w:rPr>
                <w:rFonts w:hint="eastAsia"/>
              </w:rPr>
            </w:pPr>
            <w:r>
              <w:t xml:space="preserve">开标前答疑会</w:t>
            </w:r>
            <w:r/>
          </w:p>
        </w:tc>
        <w:tc>
          <w:tcPr>
            <w:tcW w:w="7540" w:type="dxa"/>
            <w:vAlign w:val="center"/>
            <w:textDirection w:val="lrTb"/>
            <w:noWrap w:val="false"/>
          </w:tcPr>
          <w:p>
            <w:pPr>
              <w:spacing w:line="360" w:lineRule="exact"/>
              <w:rPr>
                <w:rFonts w:hint="eastAsia"/>
              </w:rPr>
            </w:pPr>
            <w:r>
              <w:rPr>
                <w:b/>
              </w:rPr>
              <w:t xml:space="preserve">■</w:t>
            </w:r>
            <w:r>
              <w:t xml:space="preserve">不召开</w:t>
            </w:r>
            <w:r/>
          </w:p>
          <w:p>
            <w:pPr>
              <w:spacing w:line="360" w:lineRule="exact"/>
              <w:rPr>
                <w:rFonts w:hint="eastAsia"/>
              </w:rPr>
            </w:pPr>
            <w:r>
              <w:rPr>
                <w:rFonts w:ascii="Wingdings 2" w:hAnsi="Wingdings 2" w:eastAsia="Wingdings 2" w:cs="Wingdings 2"/>
              </w:rPr>
              <w:t xml:space="preserve">£</w:t>
            </w:r>
            <w:r>
              <w:t xml:space="preserve">召开</w:t>
            </w:r>
            <w:r>
              <w:rPr>
                <w:rFonts w:hint="eastAsia"/>
              </w:rPr>
              <w:t xml:space="preserve">（</w:t>
            </w:r>
            <w:r>
              <w:t xml:space="preserve">召开时间：__年_月_日_</w:t>
            </w:r>
            <w:r>
              <w:rPr>
                <w:rFonts w:hint="eastAsia"/>
              </w:rPr>
              <w:t xml:space="preserve">时</w:t>
            </w:r>
            <w:r>
              <w:t xml:space="preserve">_</w:t>
            </w:r>
            <w:r>
              <w:rPr>
                <w:bCs/>
              </w:rPr>
              <w:t xml:space="preserve">分</w:t>
            </w:r>
            <w:r>
              <w:rPr>
                <w:rFonts w:hint="eastAsia"/>
                <w:bCs/>
              </w:rPr>
              <w:t xml:space="preserve">，</w:t>
            </w:r>
            <w:r>
              <w:t xml:space="preserve">召开地点：____________</w:t>
            </w:r>
            <w:r>
              <w:rPr>
                <w:rFonts w:hint="eastAsia"/>
              </w:rPr>
              <w:t xml:space="preserve">。）</w:t>
            </w:r>
            <w:r/>
          </w:p>
        </w:tc>
      </w:tr>
      <w:tr>
        <w:trPr>
          <w:jc w:val="center"/>
          <w:trHeight w:val="20"/>
        </w:trPr>
        <w:tc>
          <w:tcPr>
            <w:tcW w:w="988" w:type="dxa"/>
            <w:vAlign w:val="center"/>
            <w:textDirection w:val="lrTb"/>
            <w:noWrap w:val="false"/>
          </w:tcPr>
          <w:p>
            <w:pPr>
              <w:pStyle w:val="935"/>
              <w:jc w:val="center"/>
              <w:spacing w:line="360" w:lineRule="exact"/>
              <w:rPr>
                <w:rFonts w:hAnsi="宋体"/>
                <w:sz w:val="24"/>
                <w:szCs w:val="24"/>
              </w:rPr>
            </w:pPr>
            <w:r>
              <w:rPr>
                <w:rFonts w:hint="default" w:hAnsi="宋体"/>
                <w:sz w:val="24"/>
                <w:szCs w:val="24"/>
              </w:rPr>
              <w:t xml:space="preserve">6</w:t>
            </w:r>
            <w:r/>
          </w:p>
        </w:tc>
        <w:tc>
          <w:tcPr>
            <w:tcW w:w="1701" w:type="dxa"/>
            <w:vAlign w:val="center"/>
            <w:textDirection w:val="lrTb"/>
            <w:noWrap w:val="false"/>
          </w:tcPr>
          <w:p>
            <w:pPr>
              <w:jc w:val="center"/>
              <w:spacing w:line="360" w:lineRule="exact"/>
              <w:rPr>
                <w:rFonts w:hint="eastAsia"/>
              </w:rPr>
            </w:pPr>
            <w:r>
              <w:t xml:space="preserve">样品</w:t>
            </w:r>
            <w:r/>
          </w:p>
        </w:tc>
        <w:tc>
          <w:tcPr>
            <w:tcW w:w="7540" w:type="dxa"/>
            <w:vAlign w:val="center"/>
            <w:textDirection w:val="lrTb"/>
            <w:noWrap w:val="false"/>
          </w:tcPr>
          <w:p>
            <w:pPr>
              <w:spacing w:line="360" w:lineRule="exact"/>
              <w:rPr>
                <w:rFonts w:hint="eastAsia"/>
              </w:rPr>
            </w:pPr>
            <w:r>
              <w:t xml:space="preserve">投标样品递交：</w:t>
            </w:r>
            <w:r/>
          </w:p>
          <w:p>
            <w:pPr>
              <w:spacing w:line="360" w:lineRule="exact"/>
              <w:rPr>
                <w:rFonts w:hint="eastAsia"/>
              </w:rPr>
            </w:pPr>
            <w:r>
              <w:rPr>
                <w:b/>
              </w:rPr>
              <w:t xml:space="preserve">■</w:t>
            </w:r>
            <w:r>
              <w:t xml:space="preserve">不需要</w:t>
            </w:r>
            <w:r/>
          </w:p>
          <w:p>
            <w:pPr>
              <w:spacing w:line="360" w:lineRule="exact"/>
              <w:rPr>
                <w:rFonts w:hint="eastAsia"/>
              </w:rPr>
            </w:pPr>
            <w:r>
              <w:rPr>
                <w:rFonts w:ascii="Wingdings 2" w:hAnsi="Wingdings 2" w:eastAsia="Wingdings 2" w:cs="Wingdings 2"/>
              </w:rPr>
              <w:t xml:space="preserve">£</w:t>
            </w:r>
            <w:r>
              <w:t xml:space="preserve">需要</w:t>
            </w:r>
            <w:r>
              <w:rPr>
                <w:rFonts w:hint="eastAsia"/>
              </w:rPr>
              <w:t xml:space="preserve">，具体</w:t>
            </w:r>
            <w:r>
              <w:t xml:space="preserve">要求如下：</w:t>
            </w:r>
            <w:r/>
          </w:p>
        </w:tc>
      </w:tr>
      <w:tr>
        <w:trPr>
          <w:jc w:val="center"/>
          <w:trHeight w:val="1200"/>
        </w:trPr>
        <w:tc>
          <w:tcPr>
            <w:tcW w:w="988" w:type="dxa"/>
            <w:vAlign w:val="center"/>
            <w:textDirection w:val="lrTb"/>
            <w:noWrap w:val="false"/>
          </w:tcPr>
          <w:p>
            <w:pPr>
              <w:pStyle w:val="935"/>
              <w:jc w:val="center"/>
              <w:spacing w:line="360" w:lineRule="exact"/>
              <w:rPr>
                <w:rFonts w:hAnsi="宋体"/>
                <w:sz w:val="24"/>
                <w:szCs w:val="24"/>
              </w:rPr>
            </w:pPr>
            <w:r>
              <w:rPr>
                <w:rFonts w:hAnsi="宋体"/>
                <w:sz w:val="24"/>
                <w:szCs w:val="24"/>
              </w:rPr>
              <w:t xml:space="preserve">7</w:t>
            </w:r>
            <w:r/>
          </w:p>
        </w:tc>
        <w:tc>
          <w:tcPr>
            <w:tcW w:w="1701" w:type="dxa"/>
            <w:vAlign w:val="center"/>
            <w:textDirection w:val="lrTb"/>
            <w:noWrap w:val="false"/>
          </w:tcPr>
          <w:p>
            <w:pPr>
              <w:jc w:val="center"/>
              <w:spacing w:line="360" w:lineRule="exact"/>
              <w:rPr>
                <w:rFonts w:hint="eastAsia"/>
              </w:rPr>
            </w:pPr>
            <w:r>
              <w:t xml:space="preserve">是否专门面向中小企业</w:t>
            </w:r>
            <w:r/>
          </w:p>
        </w:tc>
        <w:tc>
          <w:tcPr>
            <w:tcW w:w="7540" w:type="dxa"/>
            <w:vAlign w:val="center"/>
            <w:textDirection w:val="lrTb"/>
            <w:noWrap w:val="false"/>
          </w:tcPr>
          <w:p>
            <w:pPr>
              <w:spacing w:line="360" w:lineRule="exact"/>
              <w:rPr>
                <w:rFonts w:hint="eastAsia"/>
              </w:rPr>
            </w:pPr>
            <w:r>
              <w:rPr>
                <w:b/>
              </w:rPr>
              <w:t xml:space="preserve">■</w:t>
            </w:r>
            <w:r>
              <w:rPr>
                <w:rFonts w:hint="eastAsia"/>
              </w:rPr>
              <w:t xml:space="preserve">本项目专门面向中小企业采购</w:t>
            </w:r>
            <w:r>
              <w:rPr>
                <w:rFonts w:hint="eastAsia"/>
              </w:rPr>
              <w:t xml:space="preserve">，在评审时不再对小微企业执行价格评审优惠政策。</w:t>
            </w:r>
            <w:r/>
          </w:p>
          <w:p>
            <w:pPr>
              <w:spacing w:line="360" w:lineRule="exact"/>
              <w:rPr>
                <w:rFonts w:hint="eastAsia"/>
              </w:rPr>
            </w:pPr>
            <w:r>
              <w:rPr>
                <w:rFonts w:ascii="Wingdings 2" w:hAnsi="Wingdings 2" w:eastAsia="Wingdings 2" w:cs="Wingdings 2"/>
              </w:rPr>
              <w:t xml:space="preserve">£</w:t>
            </w:r>
            <w:r>
              <w:rPr>
                <w:rFonts w:hint="eastAsia"/>
              </w:rPr>
              <w:t xml:space="preserve">本项目非专门面向中小企业采购，对于符合规定的小微企业报价给予</w:t>
            </w:r>
            <w:r>
              <w:rPr>
                <w:u w:val="single"/>
              </w:rPr>
              <w:t xml:space="preserve">2</w:t>
            </w:r>
            <w:r>
              <w:rPr>
                <w:rFonts w:hint="eastAsia"/>
                <w:u w:val="single"/>
              </w:rPr>
              <w:t xml:space="preserve">0%</w:t>
            </w:r>
            <w:r>
              <w:rPr>
                <w:rFonts w:hint="eastAsia"/>
              </w:rPr>
              <w:t xml:space="preserve">的扣除，用扣除后的价格参与评审。</w:t>
            </w:r>
            <w:r/>
          </w:p>
        </w:tc>
      </w:tr>
      <w:tr>
        <w:trPr>
          <w:jc w:val="center"/>
          <w:trHeight w:val="1200"/>
        </w:trPr>
        <w:tc>
          <w:tcPr>
            <w:tcW w:w="988" w:type="dxa"/>
            <w:vAlign w:val="center"/>
            <w:textDirection w:val="lrTb"/>
            <w:noWrap w:val="false"/>
          </w:tcPr>
          <w:p>
            <w:pPr>
              <w:pStyle w:val="935"/>
              <w:jc w:val="center"/>
              <w:spacing w:line="360" w:lineRule="exact"/>
              <w:rPr>
                <w:rFonts w:hAnsi="宋体"/>
                <w:sz w:val="24"/>
                <w:szCs w:val="24"/>
              </w:rPr>
            </w:pPr>
            <w:r>
              <w:rPr>
                <w:rFonts w:hAnsi="宋体"/>
                <w:sz w:val="24"/>
                <w:szCs w:val="24"/>
              </w:rPr>
              <w:t xml:space="preserve">8</w:t>
            </w:r>
            <w:r/>
          </w:p>
        </w:tc>
        <w:tc>
          <w:tcPr>
            <w:tcW w:w="1701" w:type="dxa"/>
            <w:vAlign w:val="center"/>
            <w:textDirection w:val="lrTb"/>
            <w:noWrap w:val="false"/>
          </w:tcPr>
          <w:p>
            <w:pPr>
              <w:jc w:val="center"/>
              <w:spacing w:line="360" w:lineRule="exact"/>
              <w:rPr>
                <w:rFonts w:hint="eastAsia"/>
              </w:rPr>
            </w:pPr>
            <w:r>
              <w:rPr>
                <w:rFonts w:hint="eastAsia"/>
                <w:color w:val="ff0000"/>
              </w:rPr>
              <w:t xml:space="preserve">本国产品政策支持</w:t>
            </w:r>
            <w:r/>
          </w:p>
        </w:tc>
        <w:tc>
          <w:tcPr>
            <w:tcW w:w="7540" w:type="dxa"/>
            <w:vAlign w:val="center"/>
            <w:textDirection w:val="lrTb"/>
            <w:noWrap w:val="false"/>
          </w:tcPr>
          <w:p>
            <w:pPr>
              <w:spacing w:line="360" w:lineRule="exact"/>
              <w:rPr>
                <w:rFonts w:hint="eastAsia"/>
                <w:color w:val="ff0000"/>
              </w:rPr>
            </w:pPr>
            <w:r>
              <w:rPr>
                <w:color w:val="ff0000"/>
              </w:rPr>
              <w:t xml:space="preserve">关于</w:t>
            </w:r>
            <w:r>
              <w:rPr>
                <w:rFonts w:hint="eastAsia"/>
                <w:color w:val="ff0000"/>
              </w:rPr>
              <w:t xml:space="preserve">对采购本国产品给予政策支持，本项目：</w:t>
            </w:r>
            <w:r>
              <w:rPr>
                <w:rFonts w:hint="eastAsia"/>
                <w:b/>
                <w:bCs/>
                <w:color w:val="ff0000"/>
              </w:rPr>
              <w:t xml:space="preserve">不适用。</w:t>
            </w:r>
            <w:r/>
          </w:p>
          <w:p>
            <w:pPr>
              <w:spacing w:line="360" w:lineRule="exact"/>
              <w:rPr>
                <w:rFonts w:hint="eastAsia"/>
                <w:b/>
              </w:rPr>
            </w:pPr>
            <w:r>
              <w:rPr>
                <w:rFonts w:hint="eastAsia"/>
              </w:rPr>
              <w:t xml:space="preserve">在填写《关于符合本国产品标准的声明函》时，如未提供声明函、信息填写错误、未完整填报或不符合《关于在政府采购中实施本国产品标准及相关政策的通知》要求的，则会导致报价不作相应扣除。</w:t>
            </w:r>
            <w:r/>
          </w:p>
        </w:tc>
      </w:tr>
      <w:tr>
        <w:trPr>
          <w:jc w:val="center"/>
          <w:trHeight w:val="1535"/>
        </w:trPr>
        <w:tc>
          <w:tcPr>
            <w:tcW w:w="988" w:type="dxa"/>
            <w:vAlign w:val="center"/>
            <w:textDirection w:val="lrTb"/>
            <w:noWrap w:val="false"/>
          </w:tcPr>
          <w:p>
            <w:pPr>
              <w:pStyle w:val="935"/>
              <w:jc w:val="center"/>
              <w:spacing w:line="360" w:lineRule="exact"/>
              <w:rPr>
                <w:rFonts w:hAnsi="宋体"/>
                <w:sz w:val="24"/>
                <w:szCs w:val="24"/>
              </w:rPr>
            </w:pPr>
            <w:r>
              <w:rPr>
                <w:rFonts w:hAnsi="宋体"/>
                <w:sz w:val="24"/>
                <w:szCs w:val="24"/>
              </w:rPr>
              <w:t xml:space="preserve">9</w:t>
            </w:r>
            <w:r/>
          </w:p>
        </w:tc>
        <w:tc>
          <w:tcPr>
            <w:tcW w:w="1701" w:type="dxa"/>
            <w:vAlign w:val="center"/>
            <w:textDirection w:val="lrTb"/>
            <w:noWrap w:val="false"/>
          </w:tcPr>
          <w:p>
            <w:pPr>
              <w:jc w:val="center"/>
              <w:spacing w:line="360" w:lineRule="exact"/>
              <w:rPr>
                <w:rFonts w:hint="eastAsia"/>
              </w:rPr>
            </w:pPr>
            <w:r>
              <w:t xml:space="preserve">标的所属行业</w:t>
            </w:r>
            <w:r/>
          </w:p>
        </w:tc>
        <w:tc>
          <w:tcPr>
            <w:tcW w:w="7540" w:type="dxa"/>
            <w:vAlign w:val="center"/>
            <w:textDirection w:val="lrTb"/>
            <w:noWrap w:val="false"/>
          </w:tcPr>
          <w:p>
            <w:pPr>
              <w:spacing w:line="360" w:lineRule="exact"/>
              <w:rPr>
                <w:rFonts w:hint="eastAsia"/>
              </w:rPr>
            </w:pPr>
            <w:r>
              <w:rPr>
                <w:rFonts w:hint="eastAsia"/>
              </w:rPr>
              <w:t xml:space="preserve">本项目属于</w:t>
            </w:r>
            <w:r>
              <w:rPr>
                <w:rFonts w:hint="eastAsia"/>
                <w:b/>
                <w:bCs/>
                <w:u w:val="single"/>
              </w:rPr>
              <w:t xml:space="preserve">货物</w:t>
            </w:r>
            <w:r>
              <w:rPr>
                <w:rFonts w:hint="eastAsia"/>
                <w:b/>
                <w:bCs/>
                <w:u w:val="single"/>
              </w:rPr>
              <w:t xml:space="preserve">类</w:t>
            </w:r>
            <w:r>
              <w:rPr>
                <w:rFonts w:hint="eastAsia" w:cs="楷体"/>
                <w:szCs w:val="21"/>
              </w:rPr>
              <w:t xml:space="preserve">，</w:t>
            </w:r>
            <w:r>
              <w:t xml:space="preserve">采购标的对应的中小企业划分标准所属行业：</w:t>
            </w:r>
            <w:r>
              <w:rPr>
                <w:rFonts w:hint="eastAsia"/>
                <w:b/>
                <w:bCs/>
                <w:u w:val="single"/>
              </w:rPr>
              <w:t xml:space="preserve">工</w:t>
            </w:r>
            <w:r>
              <w:rPr>
                <w:rFonts w:hint="eastAsia"/>
                <w:b/>
                <w:bCs/>
                <w:u w:val="single"/>
              </w:rPr>
              <w:t xml:space="preserve">业</w:t>
            </w:r>
            <w:r>
              <w:rPr>
                <w:rFonts w:hint="eastAsia"/>
              </w:rPr>
              <w:t xml:space="preserve">（《关于印发中小企业划型标准规定的通知》工信部联企业【2011】300号）。在填写时请正确选择中小企业声明函类型（货物、服务或工程），如填写错误或未填报则会导致资格审查不通过（专门面向中小企业采购）或报价不作相应扣除</w:t>
            </w:r>
            <w:r>
              <w:rPr>
                <w:rFonts w:hint="eastAsia"/>
              </w:rPr>
              <w:t xml:space="preserve">。</w:t>
            </w:r>
            <w:r/>
          </w:p>
        </w:tc>
      </w:tr>
      <w:tr>
        <w:trPr>
          <w:jc w:val="center"/>
          <w:trHeight w:val="695"/>
        </w:trPr>
        <w:tc>
          <w:tcPr>
            <w:tcW w:w="988" w:type="dxa"/>
            <w:vAlign w:val="center"/>
            <w:textDirection w:val="lrTb"/>
            <w:noWrap w:val="false"/>
          </w:tcPr>
          <w:p>
            <w:pPr>
              <w:pStyle w:val="935"/>
              <w:jc w:val="center"/>
              <w:spacing w:line="360" w:lineRule="exact"/>
              <w:rPr>
                <w:rFonts w:hAnsi="宋体"/>
                <w:sz w:val="24"/>
                <w:szCs w:val="24"/>
              </w:rPr>
            </w:pPr>
            <w:r>
              <w:rPr>
                <w:rFonts w:hAnsi="宋体"/>
              </w:rPr>
              <w:br w:type="page" w:clear="all"/>
            </w:r>
            <w:r>
              <w:rPr>
                <w:rFonts w:hAnsi="宋体"/>
                <w:sz w:val="24"/>
                <w:szCs w:val="24"/>
              </w:rPr>
              <w:t xml:space="preserve">10</w:t>
            </w:r>
            <w:r/>
          </w:p>
        </w:tc>
        <w:tc>
          <w:tcPr>
            <w:tcW w:w="1701" w:type="dxa"/>
            <w:vAlign w:val="center"/>
            <w:textDirection w:val="lrTb"/>
            <w:noWrap w:val="false"/>
          </w:tcPr>
          <w:p>
            <w:pPr>
              <w:jc w:val="center"/>
              <w:spacing w:line="360" w:lineRule="exact"/>
              <w:rPr>
                <w:rFonts w:hint="eastAsia"/>
              </w:rPr>
            </w:pPr>
            <w:r>
              <w:t xml:space="preserve">投标有效期</w:t>
            </w:r>
            <w:r/>
          </w:p>
        </w:tc>
        <w:tc>
          <w:tcPr>
            <w:tcW w:w="7540" w:type="dxa"/>
            <w:vAlign w:val="center"/>
            <w:textDirection w:val="lrTb"/>
            <w:noWrap w:val="false"/>
          </w:tcPr>
          <w:p>
            <w:pPr>
              <w:spacing w:line="360" w:lineRule="exact"/>
              <w:rPr>
                <w:rFonts w:hint="eastAsia"/>
              </w:rPr>
            </w:pPr>
            <w:r>
              <w:t xml:space="preserve">自提交投标文件的截止之日起算</w:t>
            </w:r>
            <w:r>
              <w:rPr>
                <w:u w:val="single"/>
              </w:rPr>
              <w:t xml:space="preserve">60</w:t>
            </w:r>
            <w:r>
              <w:t xml:space="preserve">日历天。</w:t>
            </w:r>
            <w:r/>
          </w:p>
        </w:tc>
      </w:tr>
      <w:tr>
        <w:trPr>
          <w:jc w:val="center"/>
          <w:trHeight w:val="695"/>
        </w:trPr>
        <w:tc>
          <w:tcPr>
            <w:tcW w:w="988" w:type="dxa"/>
            <w:vAlign w:val="center"/>
            <w:textDirection w:val="lrTb"/>
            <w:noWrap w:val="false"/>
          </w:tcPr>
          <w:p>
            <w:pPr>
              <w:pStyle w:val="935"/>
              <w:jc w:val="center"/>
              <w:spacing w:line="360" w:lineRule="exact"/>
              <w:rPr>
                <w:rFonts w:hAnsi="宋体"/>
              </w:rPr>
            </w:pPr>
            <w:r>
              <w:rPr>
                <w:rFonts w:hint="default" w:ascii="Times New Roman" w:hAnsi="Times New Roman"/>
                <w:sz w:val="24"/>
                <w:szCs w:val="24"/>
              </w:rPr>
              <w:t xml:space="preserve">1</w:t>
            </w:r>
            <w:r>
              <w:rPr>
                <w:rFonts w:ascii="Times New Roman" w:hAnsi="Times New Roman"/>
                <w:sz w:val="24"/>
                <w:szCs w:val="24"/>
              </w:rPr>
              <w:t xml:space="preserve">1</w:t>
            </w:r>
            <w:r/>
          </w:p>
        </w:tc>
        <w:tc>
          <w:tcPr>
            <w:tcW w:w="1701" w:type="dxa"/>
            <w:vAlign w:val="center"/>
            <w:textDirection w:val="lrTb"/>
            <w:noWrap w:val="false"/>
          </w:tcPr>
          <w:p>
            <w:pPr>
              <w:jc w:val="center"/>
              <w:spacing w:line="360" w:lineRule="exact"/>
              <w:rPr>
                <w:rFonts w:hint="eastAsia"/>
                <w:lang w:val="zh-CN"/>
              </w:rPr>
            </w:pPr>
            <w:r>
              <w:rPr>
                <w:rFonts w:hint="eastAsia"/>
                <w:lang w:val="zh-CN"/>
              </w:rPr>
              <w:t xml:space="preserve">履约保证金</w:t>
            </w:r>
            <w:r/>
          </w:p>
        </w:tc>
        <w:tc>
          <w:tcPr>
            <w:tcW w:w="7540" w:type="dxa"/>
            <w:vAlign w:val="center"/>
            <w:textDirection w:val="lrTb"/>
            <w:noWrap w:val="false"/>
          </w:tcPr>
          <w:p>
            <w:pPr>
              <w:spacing w:line="380" w:lineRule="exact"/>
              <w:rPr>
                <w:rFonts w:hint="eastAsia"/>
                <w:lang w:val="zh-CN"/>
              </w:rPr>
            </w:pPr>
            <w:r>
              <w:rPr>
                <w:rFonts w:hint="eastAsia"/>
                <w:lang w:val="zh-CN"/>
              </w:rPr>
              <w:t xml:space="preserve">履约保证金：</w:t>
            </w:r>
            <w:r>
              <w:rPr>
                <w:rFonts w:hint="eastAsia"/>
                <w:lang w:val="zh-CN"/>
              </w:rPr>
              <w:t xml:space="preserve">合同金额的5%</w:t>
            </w:r>
            <w:r>
              <w:rPr>
                <w:rFonts w:hint="eastAsia"/>
                <w:lang w:val="zh-CN"/>
              </w:rPr>
              <w:t xml:space="preserve">。</w:t>
            </w:r>
            <w:r>
              <w:rPr>
                <w:rFonts w:hint="eastAsia"/>
                <w:lang w:val="zh-CN"/>
              </w:rPr>
              <w:t xml:space="preserve">按照苏财购[2023]150号文，鼓励采用电子保函形式。中标人也可以自主选择以支票、汇票、本票、保函等非现金形式缴纳或提交。</w:t>
            </w:r>
            <w:r/>
          </w:p>
          <w:p>
            <w:pPr>
              <w:spacing w:line="380" w:lineRule="exact"/>
              <w:rPr>
                <w:rFonts w:hint="eastAsia"/>
                <w:lang w:val="zh-CN"/>
              </w:rPr>
            </w:pPr>
            <w:r>
              <w:rPr>
                <w:rFonts w:hint="eastAsia"/>
                <w:lang w:val="zh-CN"/>
              </w:rPr>
              <w:t xml:space="preserve">履约保证金的提交时间：中标人应当在合同签订前向采购人足额提交履约保证金。</w:t>
            </w:r>
            <w:r/>
          </w:p>
          <w:p>
            <w:pPr>
              <w:spacing w:line="380" w:lineRule="exact"/>
              <w:rPr>
                <w:rFonts w:hint="eastAsia"/>
                <w:lang w:val="zh-CN"/>
              </w:rPr>
            </w:pPr>
            <w:r>
              <w:rPr>
                <w:rFonts w:hint="eastAsia"/>
                <w:lang w:val="zh-CN"/>
              </w:rPr>
              <w:t xml:space="preserve">履约保证金退还方式：支票、汇票、本票或履约保函（保险）形式。</w:t>
            </w:r>
            <w:r/>
          </w:p>
          <w:p>
            <w:pPr>
              <w:spacing w:line="380" w:lineRule="exact"/>
              <w:rPr>
                <w:rFonts w:hint="eastAsia"/>
                <w:lang w:val="zh-CN"/>
              </w:rPr>
            </w:pPr>
            <w:r>
              <w:rPr>
                <w:rFonts w:hint="eastAsia"/>
                <w:lang w:val="zh-CN"/>
              </w:rPr>
              <w:t xml:space="preserve">履约保证金退还时间：采购人应在货物验收合格后退还剩余的履约保证金（无息）。</w:t>
            </w:r>
            <w:r/>
          </w:p>
          <w:p>
            <w:pPr>
              <w:spacing w:line="380" w:lineRule="exact"/>
              <w:rPr>
                <w:rFonts w:hint="eastAsia"/>
                <w:lang w:val="zh-CN"/>
              </w:rPr>
            </w:pPr>
            <w:r>
              <w:rPr>
                <w:rFonts w:hint="eastAsia"/>
                <w:lang w:val="zh-CN"/>
              </w:rPr>
              <w:t xml:space="preserve">履约保证金退还条件：中标人按合同要求履约完成后，经采购人审核后无息退还。</w:t>
            </w:r>
            <w:r/>
          </w:p>
          <w:p>
            <w:pPr>
              <w:spacing w:line="360" w:lineRule="exact"/>
              <w:rPr>
                <w:rFonts w:hint="eastAsia"/>
                <w:lang w:val="zh-CN"/>
              </w:rPr>
            </w:pPr>
            <w:r>
              <w:rPr>
                <w:rFonts w:hint="eastAsia"/>
                <w:lang w:val="zh-CN"/>
              </w:rPr>
              <w:t xml:space="preserve">履约保证金不予退还的情形：如果中标人不履行合同，履约保证金不予退还；如果中标人未能按合同约定全面履行义务，那么采购人有权从履约保证金中取得补偿或赔偿，同时不影响采购人要求中标人承担合同约定的超过履约保证金的违约责任的权利。</w:t>
            </w:r>
            <w:r/>
          </w:p>
        </w:tc>
      </w:tr>
      <w:tr>
        <w:trPr>
          <w:jc w:val="center"/>
          <w:trHeight w:val="625"/>
        </w:trPr>
        <w:tc>
          <w:tcPr>
            <w:tcW w:w="988" w:type="dxa"/>
            <w:vAlign w:val="center"/>
            <w:textDirection w:val="lrTb"/>
            <w:noWrap w:val="false"/>
          </w:tcPr>
          <w:p>
            <w:pPr>
              <w:pStyle w:val="935"/>
              <w:jc w:val="center"/>
              <w:spacing w:line="360" w:lineRule="exact"/>
              <w:rPr>
                <w:rFonts w:hAnsi="宋体"/>
                <w:sz w:val="24"/>
                <w:szCs w:val="24"/>
              </w:rPr>
            </w:pPr>
            <w:r>
              <w:rPr>
                <w:rFonts w:hint="default" w:hAnsi="宋体"/>
                <w:sz w:val="24"/>
                <w:szCs w:val="24"/>
              </w:rPr>
              <w:t xml:space="preserve">1</w:t>
            </w:r>
            <w:r>
              <w:rPr>
                <w:rFonts w:hAnsi="宋体"/>
                <w:sz w:val="24"/>
                <w:szCs w:val="24"/>
              </w:rPr>
              <w:t xml:space="preserve">2</w:t>
            </w:r>
            <w:r/>
          </w:p>
        </w:tc>
        <w:tc>
          <w:tcPr>
            <w:tcW w:w="1701" w:type="dxa"/>
            <w:vAlign w:val="center"/>
            <w:textDirection w:val="lrTb"/>
            <w:noWrap w:val="false"/>
          </w:tcPr>
          <w:p>
            <w:pPr>
              <w:jc w:val="center"/>
              <w:spacing w:line="360" w:lineRule="exact"/>
              <w:rPr>
                <w:rFonts w:hint="eastAsia"/>
              </w:rPr>
            </w:pPr>
            <w:r>
              <w:t xml:space="preserve">分包</w:t>
            </w:r>
            <w:r/>
          </w:p>
        </w:tc>
        <w:tc>
          <w:tcPr>
            <w:tcW w:w="7540" w:type="dxa"/>
            <w:vAlign w:val="center"/>
            <w:textDirection w:val="lrTb"/>
            <w:noWrap w:val="false"/>
          </w:tcPr>
          <w:p>
            <w:pPr>
              <w:spacing w:line="360" w:lineRule="exact"/>
              <w:rPr>
                <w:rFonts w:hint="eastAsia"/>
              </w:rPr>
            </w:pPr>
            <w:r>
              <w:t xml:space="preserve">本项目的非主体、非关键性工作是否允许分包：不允许</w:t>
            </w:r>
            <w:r/>
          </w:p>
        </w:tc>
      </w:tr>
      <w:tr>
        <w:trPr>
          <w:jc w:val="center"/>
          <w:trHeight w:val="20"/>
        </w:trPr>
        <w:tc>
          <w:tcPr>
            <w:tcW w:w="988" w:type="dxa"/>
            <w:vAlign w:val="center"/>
            <w:textDirection w:val="lrTb"/>
            <w:noWrap w:val="false"/>
          </w:tcPr>
          <w:p>
            <w:pPr>
              <w:pStyle w:val="935"/>
              <w:jc w:val="center"/>
              <w:spacing w:line="360" w:lineRule="exact"/>
              <w:rPr>
                <w:rFonts w:hAnsi="宋体"/>
                <w:sz w:val="24"/>
                <w:szCs w:val="24"/>
              </w:rPr>
            </w:pPr>
            <w:r>
              <w:rPr>
                <w:rFonts w:hint="default" w:hAnsi="宋体"/>
                <w:sz w:val="24"/>
                <w:szCs w:val="24"/>
              </w:rPr>
              <w:t xml:space="preserve">1</w:t>
            </w:r>
            <w:r>
              <w:rPr>
                <w:rFonts w:hAnsi="宋体"/>
                <w:sz w:val="24"/>
                <w:szCs w:val="24"/>
              </w:rPr>
              <w:t xml:space="preserve">3</w:t>
            </w:r>
            <w:r/>
          </w:p>
        </w:tc>
        <w:tc>
          <w:tcPr>
            <w:tcW w:w="1701" w:type="dxa"/>
            <w:vAlign w:val="center"/>
            <w:textDirection w:val="lrTb"/>
            <w:noWrap w:val="false"/>
          </w:tcPr>
          <w:p>
            <w:pPr>
              <w:jc w:val="center"/>
              <w:spacing w:line="360" w:lineRule="exact"/>
              <w:rPr>
                <w:rFonts w:hint="eastAsia"/>
              </w:rPr>
            </w:pPr>
            <w:r>
              <w:t xml:space="preserve">询问</w:t>
            </w:r>
            <w:r/>
          </w:p>
        </w:tc>
        <w:tc>
          <w:tcPr>
            <w:tcW w:w="7540" w:type="dxa"/>
            <w:vAlign w:val="center"/>
            <w:textDirection w:val="lrTb"/>
            <w:noWrap w:val="false"/>
          </w:tcPr>
          <w:p>
            <w:pPr>
              <w:spacing w:line="360" w:lineRule="exact"/>
              <w:rPr>
                <w:rFonts w:hint="eastAsia"/>
              </w:rPr>
            </w:pPr>
            <w:r>
              <w:rPr>
                <w:rFonts w:hint="eastAsia"/>
              </w:rPr>
              <w:t xml:space="preserve">已登记参加本项目的供应商对招标文件如有疑问，可于</w:t>
            </w:r>
            <w:r>
              <w:t xml:space="preserve">202</w:t>
            </w:r>
            <w:r>
              <w:rPr>
                <w:rFonts w:hint="eastAsia"/>
              </w:rPr>
              <w:t xml:space="preserve">6</w:t>
            </w:r>
            <w:r>
              <w:t xml:space="preserve">年</w:t>
            </w:r>
            <w:r>
              <w:rPr>
                <w:rFonts w:hint="eastAsia"/>
              </w:rPr>
              <w:t xml:space="preserve">1</w:t>
            </w:r>
            <w:r>
              <w:t xml:space="preserve">月</w:t>
            </w:r>
            <w:r>
              <w:rPr>
                <w:rFonts w:hint="eastAsia"/>
              </w:rPr>
              <w:t xml:space="preserve"> </w:t>
            </w:r>
            <w:r>
              <w:rPr>
                <w:rFonts w:hint="eastAsia"/>
              </w:rPr>
              <w:t xml:space="preserve">19</w:t>
            </w:r>
            <w:r>
              <w:t xml:space="preserve">日10</w:t>
            </w:r>
            <w:r>
              <w:rPr>
                <w:rFonts w:hint="eastAsia"/>
              </w:rPr>
              <w:t xml:space="preserve">时</w:t>
            </w:r>
            <w:r>
              <w:t xml:space="preserve">00</w:t>
            </w:r>
            <w:r>
              <w:rPr>
                <w:bCs/>
              </w:rPr>
              <w:t xml:space="preserve">分</w:t>
            </w:r>
            <w:r>
              <w:rPr>
                <w:rFonts w:hint="eastAsia"/>
              </w:rPr>
              <w:t xml:space="preserve">前将相关疑问（格式详见招标文件中“关于招标文件的询问内容”）发送至邮箱（</w:t>
            </w:r>
            <w:r>
              <w:t xml:space="preserve">czxycxm</w:t>
            </w:r>
            <w:r>
              <w:rPr>
                <w:rFonts w:hint="eastAsia"/>
              </w:rPr>
              <w:t xml:space="preserve">@1</w:t>
            </w:r>
            <w:r>
              <w:t xml:space="preserve">26</w:t>
            </w:r>
            <w:r>
              <w:rPr>
                <w:rFonts w:hint="eastAsia"/>
              </w:rPr>
              <w:t xml:space="preserve">.com）进行咨询，如口头可解释的问题亦可电话咨询采购人。未提出疑问将被视为完全认同招标文件，逾期将不接受其对于采购文件的相关异议。如有变更，更正公告将会在江苏省政府采购网、常州市政府采购网公布。</w:t>
            </w:r>
            <w:r/>
          </w:p>
        </w:tc>
      </w:tr>
      <w:tr>
        <w:trPr>
          <w:jc w:val="center"/>
          <w:trHeight w:val="2093"/>
        </w:trPr>
        <w:tc>
          <w:tcPr>
            <w:tcW w:w="988" w:type="dxa"/>
            <w:vAlign w:val="center"/>
            <w:textDirection w:val="lrTb"/>
            <w:noWrap w:val="false"/>
          </w:tcPr>
          <w:p>
            <w:pPr>
              <w:pStyle w:val="935"/>
              <w:jc w:val="center"/>
              <w:spacing w:line="360" w:lineRule="exact"/>
              <w:rPr>
                <w:rFonts w:hAnsi="宋体"/>
                <w:sz w:val="24"/>
                <w:szCs w:val="24"/>
              </w:rPr>
            </w:pPr>
            <w:r>
              <w:rPr>
                <w:rFonts w:hint="default" w:hAnsi="宋体"/>
                <w:sz w:val="24"/>
                <w:szCs w:val="24"/>
              </w:rPr>
              <w:t xml:space="preserve">1</w:t>
            </w:r>
            <w:r>
              <w:rPr>
                <w:rFonts w:hAnsi="宋体"/>
                <w:sz w:val="24"/>
                <w:szCs w:val="24"/>
              </w:rPr>
              <w:t xml:space="preserve">4</w:t>
            </w:r>
            <w:r/>
          </w:p>
        </w:tc>
        <w:tc>
          <w:tcPr>
            <w:tcW w:w="1701" w:type="dxa"/>
            <w:vAlign w:val="center"/>
            <w:textDirection w:val="lrTb"/>
            <w:noWrap w:val="false"/>
          </w:tcPr>
          <w:p>
            <w:pPr>
              <w:jc w:val="center"/>
              <w:spacing w:line="360" w:lineRule="exact"/>
              <w:rPr>
                <w:rFonts w:hint="eastAsia"/>
              </w:rPr>
            </w:pPr>
            <w:r>
              <w:t xml:space="preserve">联系方式</w:t>
            </w:r>
            <w:r/>
          </w:p>
        </w:tc>
        <w:tc>
          <w:tcPr>
            <w:tcW w:w="7540" w:type="dxa"/>
            <w:vAlign w:val="center"/>
            <w:textDirection w:val="lrTb"/>
            <w:noWrap w:val="false"/>
          </w:tcPr>
          <w:p>
            <w:pPr>
              <w:spacing w:line="360" w:lineRule="exact"/>
              <w:rPr>
                <w:rFonts w:hint="eastAsia"/>
              </w:rPr>
            </w:pPr>
            <w:r>
              <w:t xml:space="preserve">接收质疑的联系方式</w:t>
            </w:r>
            <w:r>
              <w:rPr>
                <w:rFonts w:hint="eastAsia"/>
              </w:rPr>
              <w:t xml:space="preserve">：</w:t>
            </w:r>
            <w:r/>
          </w:p>
          <w:p>
            <w:pPr>
              <w:spacing w:line="360" w:lineRule="exact"/>
              <w:rPr>
                <w:rFonts w:hint="eastAsia"/>
              </w:rPr>
            </w:pPr>
            <w:r>
              <w:rPr>
                <w:rFonts w:hint="eastAsia"/>
              </w:rPr>
              <w:t xml:space="preserve">（</w:t>
            </w:r>
            <w:r>
              <w:t xml:space="preserve">1</w:t>
            </w:r>
            <w:r>
              <w:rPr>
                <w:rFonts w:hint="eastAsia"/>
              </w:rPr>
              <w:t xml:space="preserve">）采购人联系电话、通讯地址详见《第一章</w:t>
            </w:r>
            <w:r>
              <w:t xml:space="preserve"></w:t>
            </w:r>
            <w:r>
              <w:rPr>
                <w:rFonts w:hint="eastAsia"/>
              </w:rPr>
              <w:t xml:space="preserve">采购邀请》。</w:t>
            </w:r>
            <w:r/>
          </w:p>
          <w:p>
            <w:pPr>
              <w:spacing w:line="360" w:lineRule="exact"/>
              <w:rPr>
                <w:rFonts w:hint="eastAsia"/>
              </w:rPr>
            </w:pPr>
            <w:r>
              <w:rPr>
                <w:rFonts w:hint="eastAsia"/>
              </w:rPr>
              <w:t xml:space="preserve">（2）代理机构：常州新一诚项目管理有限公司</w:t>
            </w:r>
            <w:r/>
          </w:p>
          <w:p>
            <w:pPr>
              <w:spacing w:line="360" w:lineRule="exact"/>
              <w:rPr>
                <w:rFonts w:hint="eastAsia"/>
              </w:rPr>
            </w:pPr>
            <w:r>
              <w:rPr>
                <w:rFonts w:hint="eastAsia"/>
              </w:rPr>
              <w:t xml:space="preserve">联系部门：综合办公室；</w:t>
            </w:r>
            <w:r/>
          </w:p>
          <w:p>
            <w:pPr>
              <w:spacing w:line="360" w:lineRule="exact"/>
              <w:rPr>
                <w:rFonts w:hint="eastAsia"/>
              </w:rPr>
            </w:pPr>
            <w:r>
              <w:rPr>
                <w:rFonts w:hint="eastAsia"/>
              </w:rPr>
              <w:t xml:space="preserve">联系电话：0519-88865352；</w:t>
            </w:r>
            <w:r/>
          </w:p>
          <w:p>
            <w:pPr>
              <w:spacing w:line="360" w:lineRule="exact"/>
              <w:rPr>
                <w:rFonts w:hint="eastAsia"/>
              </w:rPr>
            </w:pPr>
            <w:r>
              <w:rPr>
                <w:rFonts w:hint="eastAsia"/>
              </w:rPr>
              <w:t xml:space="preserve">通讯地址：常州市武进区湖塘镇长安路9-33号(阳湖名城北门进小区往东28米上3楼)。</w:t>
            </w:r>
            <w:r/>
          </w:p>
        </w:tc>
      </w:tr>
      <w:tr>
        <w:trPr>
          <w:jc w:val="center"/>
          <w:trHeight w:val="1232"/>
        </w:trPr>
        <w:tc>
          <w:tcPr>
            <w:tcW w:w="988" w:type="dxa"/>
            <w:vAlign w:val="center"/>
            <w:textDirection w:val="lrTb"/>
            <w:noWrap w:val="false"/>
          </w:tcPr>
          <w:p>
            <w:pPr>
              <w:pStyle w:val="935"/>
              <w:jc w:val="center"/>
              <w:spacing w:line="360" w:lineRule="exact"/>
              <w:rPr>
                <w:rFonts w:hAnsi="宋体"/>
                <w:sz w:val="24"/>
                <w:szCs w:val="24"/>
              </w:rPr>
            </w:pPr>
            <w:r>
              <w:rPr>
                <w:rFonts w:hAnsi="宋体"/>
                <w:sz w:val="24"/>
                <w:szCs w:val="24"/>
              </w:rPr>
              <w:t xml:space="preserve">1</w:t>
            </w:r>
            <w:r>
              <w:rPr>
                <w:rFonts w:hAnsi="宋体"/>
                <w:sz w:val="24"/>
                <w:szCs w:val="24"/>
              </w:rPr>
              <w:t xml:space="preserve">5</w:t>
            </w:r>
            <w:r/>
          </w:p>
        </w:tc>
        <w:tc>
          <w:tcPr>
            <w:tcW w:w="1701" w:type="dxa"/>
            <w:vAlign w:val="center"/>
            <w:textDirection w:val="lrTb"/>
            <w:noWrap w:val="false"/>
          </w:tcPr>
          <w:p>
            <w:pPr>
              <w:jc w:val="center"/>
              <w:spacing w:line="360" w:lineRule="exact"/>
              <w:rPr>
                <w:rFonts w:hint="eastAsia"/>
              </w:rPr>
            </w:pPr>
            <w:r>
              <w:t xml:space="preserve">纸质中标</w:t>
            </w:r>
            <w:r>
              <w:rPr>
                <w:rFonts w:hint="eastAsia"/>
              </w:rPr>
              <w:t xml:space="preserve">（成交）</w:t>
            </w:r>
            <w:r>
              <w:t xml:space="preserve">文件</w:t>
            </w:r>
            <w:r/>
          </w:p>
        </w:tc>
        <w:tc>
          <w:tcPr>
            <w:tcW w:w="7540" w:type="dxa"/>
            <w:vAlign w:val="center"/>
            <w:textDirection w:val="lrTb"/>
            <w:noWrap w:val="false"/>
          </w:tcPr>
          <w:p>
            <w:pPr>
              <w:spacing w:line="360" w:lineRule="exact"/>
              <w:rPr>
                <w:rFonts w:hint="eastAsia"/>
              </w:rPr>
            </w:pPr>
            <w:r>
              <w:rPr>
                <w:rFonts w:hint="eastAsia"/>
              </w:rPr>
              <w:t xml:space="preserve">中标单位在签订合同前需递交与电子投标文件内容一致的纸质投标文件三份（需打印清晰，标注目录及页码），作为项目归档使用。（递交方式可采用邮寄或现场送达，联系方式见《第一章 投标邀请》）</w:t>
            </w:r>
            <w:r/>
          </w:p>
        </w:tc>
      </w:tr>
      <w:tr>
        <w:trPr>
          <w:jc w:val="center"/>
          <w:trHeight w:val="377"/>
        </w:trPr>
        <w:tc>
          <w:tcPr>
            <w:tcW w:w="988" w:type="dxa"/>
            <w:vAlign w:val="center"/>
            <w:textDirection w:val="lrTb"/>
            <w:noWrap w:val="false"/>
          </w:tcPr>
          <w:p>
            <w:pPr>
              <w:pStyle w:val="935"/>
              <w:jc w:val="center"/>
              <w:spacing w:line="360" w:lineRule="exact"/>
              <w:rPr>
                <w:rFonts w:hAnsi="宋体"/>
                <w:sz w:val="24"/>
                <w:szCs w:val="24"/>
              </w:rPr>
            </w:pPr>
            <w:r>
              <w:rPr>
                <w:rFonts w:hAnsi="宋体"/>
                <w:sz w:val="24"/>
                <w:szCs w:val="24"/>
              </w:rPr>
              <w:t xml:space="preserve">1</w:t>
            </w:r>
            <w:r>
              <w:rPr>
                <w:rFonts w:hAnsi="宋体"/>
                <w:sz w:val="24"/>
                <w:szCs w:val="24"/>
              </w:rPr>
              <w:t xml:space="preserve">6</w:t>
            </w:r>
            <w:r/>
          </w:p>
        </w:tc>
        <w:tc>
          <w:tcPr>
            <w:tcW w:w="1701" w:type="dxa"/>
            <w:vAlign w:val="center"/>
            <w:textDirection w:val="lrTb"/>
            <w:noWrap w:val="false"/>
          </w:tcPr>
          <w:p>
            <w:pPr>
              <w:jc w:val="center"/>
              <w:spacing w:line="360" w:lineRule="exact"/>
              <w:rPr>
                <w:rFonts w:hint="eastAsia"/>
              </w:rPr>
            </w:pPr>
            <w:r>
              <w:t xml:space="preserve">代理费</w:t>
            </w:r>
            <w:r/>
          </w:p>
        </w:tc>
        <w:tc>
          <w:tcPr>
            <w:tcW w:w="7540" w:type="dxa"/>
            <w:vAlign w:val="center"/>
            <w:textDirection w:val="lrTb"/>
            <w:noWrap w:val="false"/>
          </w:tcPr>
          <w:p>
            <w:pPr>
              <w:spacing w:line="276" w:lineRule="auto"/>
              <w:rPr>
                <w:rFonts w:hint="eastAsia"/>
              </w:rPr>
            </w:pPr>
            <w:r>
              <w:t xml:space="preserve">收费对象：</w:t>
            </w:r>
            <w:r/>
          </w:p>
          <w:p>
            <w:pPr>
              <w:spacing w:line="276" w:lineRule="auto"/>
              <w:rPr>
                <w:rFonts w:hint="eastAsia"/>
              </w:rPr>
            </w:pPr>
            <w:r>
              <w:rPr>
                <w:rFonts w:hint="eastAsia"/>
              </w:rPr>
              <w:t xml:space="preserve">□</w:t>
            </w:r>
            <w:r>
              <w:t xml:space="preserve">采购人</w:t>
            </w:r>
            <w:r/>
          </w:p>
          <w:p>
            <w:pPr>
              <w:spacing w:line="276" w:lineRule="auto"/>
              <w:rPr>
                <w:rFonts w:hint="eastAsia"/>
              </w:rPr>
            </w:pPr>
            <w:r>
              <w:rPr>
                <w:rFonts w:cs="Arial"/>
                <w:b/>
              </w:rPr>
              <w:t xml:space="preserve">■</w:t>
            </w:r>
            <w:r>
              <w:t xml:space="preserve">成交供应商</w:t>
            </w:r>
            <w:r/>
          </w:p>
          <w:p>
            <w:pPr>
              <w:spacing w:line="276" w:lineRule="auto"/>
              <w:rPr>
                <w:rFonts w:hint="eastAsia"/>
              </w:rPr>
            </w:pPr>
            <w:r>
              <w:t xml:space="preserve">收费标准：</w:t>
            </w:r>
            <w:bookmarkStart w:id="128" w:name="OLE_LINK1"/>
            <w:r>
              <w:rPr>
                <w:rFonts w:hint="eastAsia"/>
              </w:rPr>
              <w:t xml:space="preserve">以中标金额为基数，收费比例按差额定率累进法计算：100万元以下1.5%，100万元（含）―500万元1.1%，500万元（含）―1000万元0.8%，1000万元（含）―5000万元0.5%，以上略。按上述标准*</w:t>
            </w:r>
            <w:r>
              <w:rPr>
                <w:rFonts w:hint="eastAsia"/>
              </w:rPr>
              <w:t xml:space="preserve">5</w:t>
            </w:r>
            <w:r>
              <w:rPr>
                <w:rFonts w:hint="eastAsia"/>
              </w:rPr>
              <w:t xml:space="preserve">0%计算；如按上述方法计算的金额低于人民币</w:t>
            </w:r>
            <w:r>
              <w:rPr>
                <w:rFonts w:hint="eastAsia"/>
              </w:rPr>
              <w:t xml:space="preserve">2</w:t>
            </w:r>
            <w:r>
              <w:rPr>
                <w:rFonts w:hint="eastAsia"/>
              </w:rPr>
              <w:t xml:space="preserve">000元整，则服务费按人民币</w:t>
            </w:r>
            <w:r>
              <w:rPr>
                <w:rFonts w:hint="eastAsia"/>
              </w:rPr>
              <w:t xml:space="preserve">2</w:t>
            </w:r>
            <w:r>
              <w:rPr>
                <w:rFonts w:hint="eastAsia"/>
              </w:rPr>
              <w:t xml:space="preserve">000元整计取。</w:t>
            </w:r>
            <w:bookmarkEnd w:id="128"/>
            <w:r/>
            <w:r/>
          </w:p>
          <w:p>
            <w:pPr>
              <w:spacing w:line="276" w:lineRule="auto"/>
              <w:rPr>
                <w:rFonts w:hint="eastAsia"/>
              </w:rPr>
            </w:pPr>
            <w:r>
              <w:t xml:space="preserve">缴纳时间：</w:t>
            </w:r>
            <w:r>
              <w:rPr>
                <w:rFonts w:hint="eastAsia"/>
              </w:rPr>
              <w:t xml:space="preserve">领取中标（成交）通知书之前</w:t>
            </w:r>
            <w:r>
              <w:t xml:space="preserve">。</w:t>
            </w:r>
            <w:r/>
          </w:p>
          <w:p>
            <w:pPr>
              <w:pStyle w:val="907"/>
              <w:rPr>
                <w:rFonts w:hint="eastAsia" w:ascii="宋体" w:hAnsi="宋体"/>
                <w:color w:val="auto"/>
              </w:rPr>
            </w:pPr>
            <w:r>
              <w:rPr>
                <w:rFonts w:hint="eastAsia" w:ascii="宋体" w:hAnsi="宋体"/>
                <w:color w:val="auto"/>
              </w:rPr>
              <w:t xml:space="preserve">代理费收款账号：</w:t>
            </w:r>
            <w:r/>
          </w:p>
          <w:p>
            <w:pPr>
              <w:pStyle w:val="957"/>
              <w:spacing w:before="0" w:beforeAutospacing="0" w:after="0" w:afterAutospacing="0"/>
              <w:rPr>
                <w:rFonts w:hint="eastAsia" w:cs="Times New Roman"/>
              </w:rPr>
            </w:pPr>
            <w:r>
              <w:rPr>
                <w:rFonts w:cs="Times New Roman"/>
              </w:rPr>
              <w:t xml:space="preserve">账户名称：常州新一诚项目管理有限公司</w:t>
            </w:r>
            <w:r/>
          </w:p>
          <w:p>
            <w:pPr>
              <w:pStyle w:val="957"/>
              <w:spacing w:before="0" w:beforeAutospacing="0" w:after="0" w:afterAutospacing="0"/>
              <w:rPr>
                <w:rFonts w:hint="eastAsia" w:cs="Times New Roman"/>
              </w:rPr>
            </w:pPr>
            <w:r>
              <w:rPr>
                <w:rFonts w:cs="Times New Roman"/>
              </w:rPr>
              <w:t xml:space="preserve">账户号码：471574992008</w:t>
            </w:r>
            <w:r/>
          </w:p>
          <w:p>
            <w:pPr>
              <w:spacing w:line="360" w:lineRule="exact"/>
              <w:rPr>
                <w:rFonts w:hint="eastAsia"/>
              </w:rPr>
            </w:pPr>
            <w:r>
              <w:t xml:space="preserve">开户银行：中国银行股份有限公司常州湖塘支行</w:t>
            </w:r>
            <w:bookmarkEnd w:id="126"/>
            <w:r/>
          </w:p>
        </w:tc>
      </w:tr>
    </w:tbl>
    <w:p>
      <w:pPr>
        <w:jc w:val="both"/>
        <w:spacing w:line="360" w:lineRule="auto"/>
        <w:tabs>
          <w:tab w:val="left" w:pos="5580" w:leader="none"/>
        </w:tabs>
        <w:rPr>
          <w:rFonts w:hint="eastAsia"/>
        </w:rPr>
        <w:sectPr>
          <w:footnotePr/>
          <w:endnotePr/>
          <w:type w:val="nextPage"/>
          <w:pgSz w:w="11907" w:h="16840" w:orient="portrait"/>
          <w:pgMar w:top="1440" w:right="1080" w:bottom="1440" w:left="1080" w:header="851" w:footer="850" w:gutter="0"/>
          <w:cols w:num="1" w:sep="0" w:space="720" w:equalWidth="1"/>
          <w:docGrid w:linePitch="360"/>
        </w:sectPr>
      </w:pPr>
      <w:r>
        <w:rPr>
          <w:rFonts w:hint="eastAsia"/>
        </w:rPr>
      </w:r>
      <w:r/>
    </w:p>
    <w:p>
      <w:pPr>
        <w:pStyle w:val="896"/>
        <w:spacing w:before="0" w:line="360" w:lineRule="auto"/>
        <w:tabs>
          <w:tab w:val="center" w:pos="4592" w:leader="none"/>
          <w:tab w:val="left" w:pos="7860" w:leader="none"/>
        </w:tabs>
        <w:rPr>
          <w:rFonts w:hint="eastAsia" w:ascii="宋体" w:hAnsi="宋体" w:eastAsia="宋体"/>
          <w:sz w:val="32"/>
          <w:szCs w:val="32"/>
        </w:rPr>
      </w:pPr>
      <w:r/>
      <w:bookmarkStart w:id="129" w:name="_Toc152683024"/>
      <w:r/>
      <w:bookmarkStart w:id="130" w:name="_Toc152683383"/>
      <w:r/>
      <w:bookmarkStart w:id="131" w:name="_Toc152683543"/>
      <w:r/>
      <w:bookmarkStart w:id="132" w:name="_Toc197636556"/>
      <w:r/>
      <w:bookmarkStart w:id="133" w:name="_Toc197636607"/>
      <w:r/>
      <w:bookmarkStart w:id="134" w:name="_Toc127151518"/>
      <w:r/>
      <w:bookmarkStart w:id="135" w:name="_Toc520356143"/>
      <w:r/>
      <w:bookmarkStart w:id="136" w:name="_Toc142311020"/>
      <w:r/>
      <w:bookmarkStart w:id="137" w:name="_Toc151193616"/>
      <w:r/>
      <w:bookmarkStart w:id="138" w:name="_Toc265228356"/>
      <w:r/>
      <w:bookmarkStart w:id="139" w:name="_Toc150774723"/>
      <w:r/>
      <w:bookmarkStart w:id="140" w:name="_Toc150480756"/>
      <w:r/>
      <w:bookmarkStart w:id="141" w:name="_Toc264969208"/>
      <w:r/>
      <w:bookmarkStart w:id="142" w:name="_Toc150509269"/>
      <w:r/>
      <w:bookmarkStart w:id="143" w:name="_Toc151193906"/>
      <w:r/>
      <w:bookmarkStart w:id="144" w:name="_Toc150774618"/>
      <w:r/>
      <w:bookmarkStart w:id="145" w:name="_Toc305158786"/>
      <w:r/>
      <w:bookmarkStart w:id="146" w:name="_Toc151193688"/>
      <w:r/>
      <w:bookmarkStart w:id="147" w:name="_Toc151193760"/>
      <w:r/>
      <w:bookmarkStart w:id="148" w:name="_Toc195842883"/>
      <w:r/>
      <w:bookmarkStart w:id="149" w:name="_Toc226337214"/>
      <w:r/>
      <w:bookmarkStart w:id="150" w:name="_Toc151190145"/>
      <w:r/>
      <w:bookmarkStart w:id="151" w:name="_Toc226309762"/>
      <w:r/>
      <w:bookmarkStart w:id="152" w:name="_Toc305158860"/>
      <w:r/>
      <w:bookmarkStart w:id="153" w:name="_Toc226965708"/>
      <w:r/>
      <w:bookmarkStart w:id="154" w:name="_Toc151193832"/>
      <w:r/>
      <w:bookmarkStart w:id="155" w:name="_Toc226965791"/>
      <w:r/>
      <w:bookmarkStart w:id="156" w:name="_Toc99301424"/>
      <w:r/>
      <w:bookmarkStart w:id="157" w:name="_Toc265228393"/>
      <w:r/>
      <w:bookmarkStart w:id="158" w:name="_Toc226965828"/>
      <w:r/>
      <w:bookmarkStart w:id="159" w:name="_Toc150774760"/>
      <w:r/>
      <w:bookmarkStart w:id="160" w:name="_Toc353873665"/>
      <w:r/>
      <w:bookmarkStart w:id="161" w:name="_Toc353873935"/>
      <w:r/>
      <w:bookmarkStart w:id="162" w:name="_Toc195842920"/>
      <w:r/>
      <w:bookmarkStart w:id="163" w:name="_Toc305158823"/>
      <w:r/>
      <w:bookmarkStart w:id="164" w:name="_Toc305158897"/>
      <w:r/>
      <w:bookmarkStart w:id="165" w:name="_Toc264969245"/>
      <w:r/>
      <w:bookmarkStart w:id="166" w:name="_Toc150480793"/>
      <w:r/>
      <w:bookmarkStart w:id="167" w:name="_Toc142311057"/>
      <w:r/>
      <w:bookmarkStart w:id="168" w:name="_Toc226337251"/>
      <w:r/>
      <w:bookmarkStart w:id="169" w:name="_Toc353825545"/>
      <w:r/>
      <w:bookmarkStart w:id="170" w:name="_Toc127151555"/>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rPr>
          <w:rFonts w:hint="eastAsia" w:ascii="宋体" w:hAnsi="宋体" w:eastAsia="宋体"/>
          <w:sz w:val="32"/>
          <w:szCs w:val="32"/>
        </w:rPr>
        <w:t xml:space="preserve">第二节 说明</w:t>
      </w:r>
      <w:bookmarkEnd w:id="129"/>
      <w:r/>
      <w:bookmarkEnd w:id="130"/>
      <w:r/>
      <w:bookmarkEnd w:id="131"/>
      <w:r/>
      <w:bookmarkEnd w:id="132"/>
      <w:r/>
      <w:bookmarkEnd w:id="133"/>
      <w:r/>
      <w:r/>
    </w:p>
    <w:p>
      <w:pPr>
        <w:pStyle w:val="896"/>
        <w:ind w:firstLine="321"/>
        <w:jc w:val="both"/>
        <w:spacing w:before="0" w:line="500" w:lineRule="exact"/>
        <w:tabs>
          <w:tab w:val="center" w:pos="4592" w:leader="none"/>
          <w:tab w:val="left" w:pos="7860" w:leader="none"/>
        </w:tabs>
        <w:rPr>
          <w:rFonts w:hint="eastAsia" w:ascii="宋体" w:hAnsi="宋体" w:eastAsia="宋体"/>
          <w:sz w:val="28"/>
        </w:rPr>
      </w:pPr>
      <w:r/>
      <w:bookmarkStart w:id="171" w:name="_Toc152683025"/>
      <w:r/>
      <w:bookmarkStart w:id="172" w:name="_Toc152683384"/>
      <w:r/>
      <w:bookmarkStart w:id="173" w:name="_Toc152683544"/>
      <w:r/>
      <w:bookmarkStart w:id="174" w:name="_Toc197636557"/>
      <w:r/>
      <w:bookmarkStart w:id="175" w:name="_Toc197636608"/>
      <w:r>
        <w:rPr>
          <w:rFonts w:hint="eastAsia" w:ascii="宋体" w:hAnsi="宋体" w:eastAsia="宋体"/>
          <w:sz w:val="32"/>
          <w:szCs w:val="32"/>
        </w:rPr>
        <w:t xml:space="preserve">一、</w:t>
      </w:r>
      <w:r>
        <w:rPr>
          <w:rFonts w:ascii="宋体" w:hAnsi="宋体" w:eastAsia="宋体"/>
          <w:sz w:val="32"/>
          <w:szCs w:val="32"/>
        </w:rPr>
        <w:t xml:space="preserve"> </w:t>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rPr>
          <w:rFonts w:hint="eastAsia" w:ascii="宋体" w:hAnsi="宋体" w:eastAsia="宋体"/>
          <w:sz w:val="32"/>
          <w:szCs w:val="32"/>
        </w:rPr>
        <w:t xml:space="preserve">总则</w:t>
      </w:r>
      <w:bookmarkEnd w:id="171"/>
      <w:r/>
      <w:bookmarkEnd w:id="172"/>
      <w:r/>
      <w:bookmarkEnd w:id="173"/>
      <w:r/>
      <w:bookmarkEnd w:id="174"/>
      <w:r/>
      <w:bookmarkEnd w:id="175"/>
      <w:r/>
      <w:r/>
    </w:p>
    <w:p>
      <w:pPr>
        <w:ind w:firstLine="420"/>
        <w:keepLines/>
        <w:keepNext/>
        <w:spacing w:line="500" w:lineRule="exact"/>
        <w:rPr>
          <w:rFonts w:hint="eastAsia" w:cs="Arial"/>
          <w:sz w:val="28"/>
          <w:szCs w:val="28"/>
        </w:rPr>
        <w:outlineLvl w:val="3"/>
      </w:pPr>
      <w:r/>
      <w:bookmarkStart w:id="176" w:name="_Toc458694821"/>
      <w:r/>
      <w:bookmarkStart w:id="177" w:name="_Toc513029204"/>
      <w:r/>
      <w:bookmarkStart w:id="178" w:name="_Toc16938520"/>
      <w:r/>
      <w:bookmarkStart w:id="179" w:name="_Toc20823276"/>
      <w:r/>
      <w:bookmarkStart w:id="180" w:name="_Toc127151554"/>
      <w:r/>
      <w:bookmarkStart w:id="181" w:name="_Toc305158822"/>
      <w:r/>
      <w:bookmarkStart w:id="182" w:name="_Toc353825544"/>
      <w:r/>
      <w:bookmarkStart w:id="183" w:name="_Toc265228392"/>
      <w:r/>
      <w:bookmarkStart w:id="184" w:name="_Toc353873664"/>
      <w:r/>
      <w:bookmarkStart w:id="185" w:name="_Toc305158896"/>
      <w:r/>
      <w:bookmarkStart w:id="186" w:name="_Toc150774759"/>
      <w:r/>
      <w:bookmarkStart w:id="187" w:name="_Toc264969244"/>
      <w:r/>
      <w:bookmarkStart w:id="188" w:name="_Toc226965827"/>
      <w:r/>
      <w:bookmarkStart w:id="189" w:name="_Toc142311056"/>
      <w:r/>
      <w:bookmarkStart w:id="190" w:name="_Toc353873934"/>
      <w:r/>
      <w:bookmarkStart w:id="191" w:name="_Toc226337250"/>
      <w:r/>
      <w:bookmarkStart w:id="192" w:name="_Toc150480792"/>
      <w:r/>
      <w:bookmarkStart w:id="193" w:name="_Toc99301421"/>
      <w:r>
        <w:rPr>
          <w:rFonts w:hint="eastAsia" w:cs="Arial"/>
          <w:sz w:val="28"/>
          <w:szCs w:val="28"/>
        </w:rPr>
        <w:t xml:space="preserve">1</w:t>
      </w:r>
      <w:bookmarkEnd w:id="176"/>
      <w:r>
        <w:rPr>
          <w:rFonts w:hint="eastAsia" w:cs="Arial"/>
          <w:sz w:val="28"/>
          <w:szCs w:val="28"/>
        </w:rPr>
        <w:t xml:space="preserve">、</w:t>
      </w:r>
      <w:r>
        <w:rPr>
          <w:rFonts w:hint="eastAsia" w:cs="Arial"/>
          <w:sz w:val="28"/>
          <w:szCs w:val="28"/>
        </w:rPr>
        <w:t xml:space="preserve">采购</w:t>
      </w:r>
      <w:r>
        <w:rPr>
          <w:rFonts w:hint="eastAsia" w:cs="Arial"/>
          <w:sz w:val="28"/>
          <w:szCs w:val="28"/>
        </w:rPr>
        <w:t xml:space="preserve">方式</w:t>
      </w:r>
      <w:bookmarkEnd w:id="177"/>
      <w:r/>
      <w:bookmarkEnd w:id="178"/>
      <w:r/>
      <w:bookmarkEnd w:id="179"/>
      <w:r/>
      <w:r/>
    </w:p>
    <w:p>
      <w:pPr>
        <w:ind w:firstLine="480"/>
        <w:spacing w:line="500" w:lineRule="exact"/>
        <w:rPr>
          <w:rFonts w:hint="eastAsia"/>
          <w:szCs w:val="21"/>
        </w:rPr>
      </w:pPr>
      <w:r>
        <w:rPr>
          <w:rFonts w:hint="eastAsia"/>
          <w:szCs w:val="21"/>
        </w:rPr>
        <w:t xml:space="preserve">1.1 本次招标采取公开招标方式，本招标文件仅适用于招标公告中所述项目。</w:t>
      </w:r>
      <w:r/>
    </w:p>
    <w:p>
      <w:pPr>
        <w:ind w:firstLine="420"/>
        <w:keepLines/>
        <w:keepNext/>
        <w:spacing w:line="500" w:lineRule="exact"/>
        <w:rPr>
          <w:rFonts w:hint="eastAsia" w:cs="Arial"/>
          <w:sz w:val="28"/>
          <w:szCs w:val="28"/>
        </w:rPr>
        <w:outlineLvl w:val="3"/>
      </w:pPr>
      <w:r/>
      <w:bookmarkStart w:id="194" w:name="_Toc513029205"/>
      <w:r/>
      <w:bookmarkStart w:id="195" w:name="_Toc16938521"/>
      <w:r/>
      <w:bookmarkStart w:id="196" w:name="_Toc20823277"/>
      <w:r>
        <w:rPr>
          <w:rFonts w:hint="eastAsia" w:cs="Arial"/>
          <w:sz w:val="28"/>
          <w:szCs w:val="28"/>
        </w:rPr>
        <w:t xml:space="preserve">2、合格的投标人</w:t>
      </w:r>
      <w:bookmarkEnd w:id="194"/>
      <w:r/>
      <w:bookmarkEnd w:id="195"/>
      <w:r/>
      <w:bookmarkEnd w:id="196"/>
      <w:r/>
      <w:r/>
    </w:p>
    <w:p>
      <w:pPr>
        <w:ind w:firstLine="480"/>
        <w:spacing w:line="500" w:lineRule="exact"/>
        <w:rPr>
          <w:rFonts w:hint="eastAsia"/>
        </w:rPr>
      </w:pPr>
      <w:r>
        <w:rPr>
          <w:rFonts w:hint="eastAsia"/>
        </w:rPr>
        <w:t xml:space="preserve">2.1满足招标公告中供应商的资格要求的规定。</w:t>
      </w:r>
      <w:r/>
    </w:p>
    <w:p>
      <w:pPr>
        <w:ind w:firstLine="480"/>
        <w:spacing w:line="500" w:lineRule="exact"/>
        <w:rPr>
          <w:rFonts w:hint="eastAsia"/>
        </w:rPr>
      </w:pPr>
      <w:r>
        <w:rPr>
          <w:rFonts w:hint="eastAsia"/>
        </w:rPr>
        <w:t xml:space="preserve">2.2 满足本文件实质性要求和条件的规定。</w:t>
      </w:r>
      <w:r/>
    </w:p>
    <w:p>
      <w:pPr>
        <w:ind w:firstLine="420"/>
        <w:keepLines/>
        <w:keepNext/>
        <w:spacing w:line="500" w:lineRule="exact"/>
        <w:rPr>
          <w:rFonts w:hint="eastAsia" w:cs="Arial"/>
          <w:sz w:val="28"/>
          <w:szCs w:val="28"/>
        </w:rPr>
        <w:outlineLvl w:val="3"/>
      </w:pPr>
      <w:r/>
      <w:bookmarkStart w:id="197" w:name="_Toc513029206"/>
      <w:r/>
      <w:bookmarkStart w:id="198" w:name="_Toc16938522"/>
      <w:r/>
      <w:bookmarkStart w:id="199" w:name="_Toc20823278"/>
      <w:r>
        <w:rPr>
          <w:rFonts w:hint="eastAsia" w:cs="Arial"/>
          <w:sz w:val="28"/>
          <w:szCs w:val="28"/>
        </w:rPr>
        <w:t xml:space="preserve">3、适用法律</w:t>
      </w:r>
      <w:bookmarkEnd w:id="197"/>
      <w:r/>
      <w:bookmarkEnd w:id="198"/>
      <w:r/>
      <w:bookmarkEnd w:id="199"/>
      <w:r/>
      <w:r/>
    </w:p>
    <w:p>
      <w:pPr>
        <w:ind w:firstLine="420"/>
        <w:spacing w:line="500" w:lineRule="exact"/>
        <w:rPr>
          <w:rFonts w:hint="eastAsia"/>
          <w:szCs w:val="21"/>
        </w:rPr>
      </w:pPr>
      <w:r>
        <w:rPr>
          <w:rFonts w:hint="eastAsia"/>
          <w:szCs w:val="21"/>
        </w:rPr>
        <w:t xml:space="preserve">3.1 本次招标及由此产生的合同受中华人民共和国有关的法律法规制约和保护</w:t>
      </w:r>
      <w:r>
        <w:rPr>
          <w:szCs w:val="21"/>
        </w:rPr>
        <w:t xml:space="preserve">。</w:t>
      </w:r>
      <w:r/>
    </w:p>
    <w:p>
      <w:pPr>
        <w:ind w:firstLine="420"/>
        <w:keepLines/>
        <w:keepNext/>
        <w:spacing w:line="500" w:lineRule="exact"/>
        <w:rPr>
          <w:rFonts w:hint="eastAsia" w:cs="Arial"/>
          <w:sz w:val="28"/>
          <w:szCs w:val="28"/>
        </w:rPr>
        <w:outlineLvl w:val="3"/>
      </w:pPr>
      <w:r/>
      <w:bookmarkStart w:id="200" w:name="_Toc462564067"/>
      <w:r/>
      <w:bookmarkStart w:id="201" w:name="_Toc513029207"/>
      <w:r/>
      <w:bookmarkStart w:id="202" w:name="_Toc16938523"/>
      <w:r/>
      <w:bookmarkStart w:id="203" w:name="_Toc20823279"/>
      <w:r>
        <w:rPr>
          <w:rFonts w:hint="eastAsia" w:cs="Arial"/>
          <w:sz w:val="28"/>
          <w:szCs w:val="28"/>
        </w:rPr>
        <w:t xml:space="preserve">4、投标费用</w:t>
      </w:r>
      <w:bookmarkEnd w:id="200"/>
      <w:r/>
      <w:bookmarkEnd w:id="201"/>
      <w:r/>
      <w:bookmarkEnd w:id="202"/>
      <w:r/>
      <w:bookmarkEnd w:id="203"/>
      <w:r/>
      <w:r/>
    </w:p>
    <w:p>
      <w:pPr>
        <w:ind w:firstLine="480"/>
        <w:spacing w:line="500" w:lineRule="exact"/>
        <w:rPr>
          <w:rFonts w:hint="eastAsia"/>
          <w:szCs w:val="21"/>
        </w:rPr>
      </w:pPr>
      <w:r>
        <w:rPr>
          <w:rFonts w:hint="eastAsia"/>
          <w:bCs/>
          <w:szCs w:val="21"/>
        </w:rPr>
        <w:t xml:space="preserve">4.1</w:t>
      </w:r>
      <w:r>
        <w:rPr>
          <w:rFonts w:hint="eastAsia"/>
          <w:szCs w:val="21"/>
        </w:rPr>
        <w:t xml:space="preserve"> 投标人应自行承担所有与参加投标有关的费用，无论投标过程中的做法和结果如何，</w:t>
      </w:r>
      <w:r>
        <w:rPr>
          <w:rFonts w:hint="eastAsia"/>
          <w:szCs w:val="21"/>
        </w:rPr>
        <w:t xml:space="preserve">常州新一诚项目管理有限公司</w:t>
      </w:r>
      <w:r>
        <w:rPr>
          <w:rFonts w:hint="eastAsia"/>
          <w:szCs w:val="21"/>
        </w:rPr>
        <w:t xml:space="preserve">（以下简称</w:t>
      </w:r>
      <w:r>
        <w:rPr>
          <w:rFonts w:hint="eastAsia"/>
          <w:szCs w:val="21"/>
        </w:rPr>
        <w:t xml:space="preserve">代理机构</w:t>
      </w:r>
      <w:r>
        <w:rPr>
          <w:rFonts w:hint="eastAsia"/>
          <w:szCs w:val="21"/>
        </w:rPr>
        <w:t xml:space="preserve">）在任何情况下均无义务和责任承担这些费用。</w:t>
      </w:r>
      <w:r/>
    </w:p>
    <w:p>
      <w:pPr>
        <w:ind w:firstLine="480"/>
        <w:spacing w:line="500" w:lineRule="exact"/>
        <w:rPr>
          <w:rFonts w:hint="eastAsia"/>
          <w:szCs w:val="21"/>
        </w:rPr>
      </w:pPr>
      <w:r>
        <w:rPr>
          <w:rFonts w:hint="eastAsia"/>
          <w:szCs w:val="21"/>
        </w:rPr>
        <w:t xml:space="preserve">4.2</w:t>
      </w:r>
      <w:r>
        <w:rPr>
          <w:rFonts w:hint="eastAsia"/>
          <w:szCs w:val="21"/>
        </w:rPr>
        <w:t xml:space="preserve">收费对象、收费标准及缴纳时间见《投标人须知资料表》。由中标单位支付的，中标单位须一次性向采购代理机构缴纳代理费，报价应包含代理费用。</w:t>
      </w:r>
      <w:r/>
    </w:p>
    <w:p>
      <w:pPr>
        <w:ind w:firstLine="602"/>
        <w:keepLines/>
        <w:keepNext/>
        <w:spacing w:line="500" w:lineRule="exact"/>
        <w:rPr>
          <w:rFonts w:hint="eastAsia" w:cs="Arial"/>
          <w:sz w:val="28"/>
          <w:szCs w:val="28"/>
        </w:rPr>
        <w:outlineLvl w:val="3"/>
      </w:pPr>
      <w:r>
        <w:rPr>
          <w:rFonts w:hint="eastAsia" w:cs="Arial"/>
          <w:b/>
          <w:bCs/>
          <w:sz w:val="30"/>
          <w:szCs w:val="28"/>
        </w:rPr>
        <w:t xml:space="preserve">5、</w:t>
      </w:r>
      <w:r>
        <w:rPr>
          <w:rFonts w:hint="eastAsia" w:cs="Arial"/>
          <w:sz w:val="28"/>
          <w:szCs w:val="28"/>
        </w:rPr>
        <w:t xml:space="preserve">招标文件的约束力</w:t>
      </w:r>
      <w:r/>
    </w:p>
    <w:p>
      <w:pPr>
        <w:ind w:firstLine="480"/>
        <w:spacing w:line="500" w:lineRule="exact"/>
        <w:rPr>
          <w:rFonts w:hint="eastAsia"/>
        </w:rPr>
      </w:pPr>
      <w:r>
        <w:rPr>
          <w:rFonts w:hint="eastAsia"/>
          <w:bCs/>
        </w:rPr>
        <w:t xml:space="preserve">5.1</w:t>
      </w:r>
      <w:r>
        <w:rPr>
          <w:rFonts w:hint="eastAsia"/>
        </w:rPr>
        <w:t xml:space="preserve"> 投标人一旦参加本项目采购活动，即被认为接受了本招标文件的规定和约束。</w:t>
      </w:r>
      <w:r/>
    </w:p>
    <w:p>
      <w:pPr>
        <w:ind w:firstLine="321"/>
        <w:keepLines/>
        <w:keepNext/>
        <w:spacing w:line="500" w:lineRule="exact"/>
        <w:rPr>
          <w:rFonts w:hint="eastAsia"/>
          <w:b/>
          <w:bCs/>
          <w:sz w:val="32"/>
          <w:szCs w:val="32"/>
        </w:rPr>
        <w:outlineLvl w:val="2"/>
      </w:pPr>
      <w:r/>
      <w:bookmarkStart w:id="204" w:name="_Toc513029209"/>
      <w:r/>
      <w:bookmarkStart w:id="205" w:name="_Toc16938525"/>
      <w:r/>
      <w:bookmarkStart w:id="206" w:name="_Toc20823281"/>
      <w:r/>
      <w:bookmarkStart w:id="207" w:name="_Toc120614215"/>
      <w:r/>
      <w:bookmarkStart w:id="208" w:name="_Toc152683026"/>
      <w:r/>
      <w:bookmarkStart w:id="209" w:name="_Toc152683385"/>
      <w:r/>
      <w:bookmarkStart w:id="210" w:name="_Toc152683545"/>
      <w:r/>
      <w:bookmarkStart w:id="211" w:name="_Toc197636558"/>
      <w:r/>
      <w:bookmarkStart w:id="212" w:name="_Toc197636609"/>
      <w:r>
        <w:rPr>
          <w:rFonts w:hint="eastAsia"/>
          <w:b/>
          <w:bCs/>
          <w:sz w:val="32"/>
          <w:szCs w:val="32"/>
        </w:rPr>
        <w:t xml:space="preserve">二、招标文件</w:t>
      </w:r>
      <w:bookmarkEnd w:id="204"/>
      <w:r/>
      <w:bookmarkEnd w:id="205"/>
      <w:r/>
      <w:bookmarkEnd w:id="206"/>
      <w:r/>
      <w:bookmarkEnd w:id="207"/>
      <w:r/>
      <w:bookmarkEnd w:id="208"/>
      <w:r/>
      <w:bookmarkEnd w:id="209"/>
      <w:r/>
      <w:bookmarkEnd w:id="210"/>
      <w:r/>
      <w:bookmarkEnd w:id="211"/>
      <w:r/>
      <w:bookmarkEnd w:id="212"/>
      <w:r/>
      <w:r/>
    </w:p>
    <w:p>
      <w:pPr>
        <w:ind w:firstLine="420"/>
        <w:keepLines/>
        <w:keepNext/>
        <w:spacing w:line="500" w:lineRule="exact"/>
        <w:rPr>
          <w:rFonts w:hint="eastAsia" w:cs="Arial"/>
          <w:sz w:val="28"/>
          <w:szCs w:val="28"/>
        </w:rPr>
        <w:outlineLvl w:val="3"/>
      </w:pPr>
      <w:r/>
      <w:bookmarkStart w:id="213" w:name="_Toc513029210"/>
      <w:r/>
      <w:bookmarkStart w:id="214" w:name="_Toc16938526"/>
      <w:r/>
      <w:bookmarkStart w:id="215" w:name="_Toc20823282"/>
      <w:r>
        <w:rPr>
          <w:rFonts w:hint="eastAsia" w:cs="Arial"/>
          <w:sz w:val="28"/>
          <w:szCs w:val="28"/>
        </w:rPr>
        <w:t xml:space="preserve">6、招标文件构成</w:t>
      </w:r>
      <w:bookmarkEnd w:id="213"/>
      <w:r/>
      <w:bookmarkEnd w:id="214"/>
      <w:r/>
      <w:bookmarkEnd w:id="215"/>
      <w:r/>
      <w:r/>
    </w:p>
    <w:p>
      <w:pPr>
        <w:ind w:firstLine="480"/>
        <w:spacing w:line="500" w:lineRule="exact"/>
        <w:rPr>
          <w:rFonts w:hint="eastAsia"/>
          <w:szCs w:val="21"/>
        </w:rPr>
      </w:pPr>
      <w:r>
        <w:rPr>
          <w:rFonts w:hint="eastAsia"/>
          <w:bCs/>
          <w:szCs w:val="21"/>
        </w:rPr>
        <w:t xml:space="preserve">6.1</w:t>
      </w:r>
      <w:r>
        <w:rPr>
          <w:rFonts w:hint="eastAsia"/>
          <w:szCs w:val="21"/>
        </w:rPr>
        <w:t xml:space="preserve"> 招标文件由以下部分组成：</w:t>
      </w:r>
      <w:r/>
    </w:p>
    <w:p>
      <w:pPr>
        <w:ind w:firstLine="360"/>
        <w:spacing w:line="500" w:lineRule="exact"/>
        <w:rPr>
          <w:rFonts w:hint="eastAsia"/>
        </w:rPr>
      </w:pPr>
      <w:r>
        <w:rPr>
          <w:rFonts w:hint="eastAsia"/>
        </w:rPr>
        <w:t xml:space="preserve">（1）投标</w:t>
      </w:r>
      <w:r>
        <w:t xml:space="preserve">邀请</w:t>
      </w:r>
      <w:r/>
    </w:p>
    <w:p>
      <w:pPr>
        <w:ind w:firstLine="360"/>
        <w:spacing w:line="500" w:lineRule="exact"/>
        <w:rPr>
          <w:rFonts w:hint="eastAsia"/>
        </w:rPr>
      </w:pPr>
      <w:r>
        <w:rPr>
          <w:rFonts w:hint="eastAsia"/>
        </w:rPr>
        <w:t xml:space="preserve">（2）投标人须知</w:t>
      </w:r>
      <w:r/>
    </w:p>
    <w:p>
      <w:pPr>
        <w:ind w:firstLine="360"/>
        <w:spacing w:line="500" w:lineRule="exact"/>
        <w:rPr>
          <w:rFonts w:hint="eastAsia"/>
        </w:rPr>
      </w:pPr>
      <w:r>
        <w:rPr>
          <w:rFonts w:hint="eastAsia"/>
        </w:rPr>
        <w:t xml:space="preserve">（3）</w:t>
      </w:r>
      <w:r>
        <w:rPr>
          <w:rFonts w:hint="eastAsia"/>
        </w:rPr>
        <w:t xml:space="preserve">资格审查</w:t>
      </w:r>
      <w:r/>
    </w:p>
    <w:p>
      <w:pPr>
        <w:ind w:firstLine="360"/>
        <w:spacing w:line="500" w:lineRule="exact"/>
        <w:rPr>
          <w:rFonts w:hint="eastAsia"/>
        </w:rPr>
      </w:pPr>
      <w:r>
        <w:rPr>
          <w:rFonts w:hint="eastAsia"/>
        </w:rPr>
        <w:t xml:space="preserve">（4）</w:t>
      </w:r>
      <w:r>
        <w:rPr>
          <w:rFonts w:hint="eastAsia"/>
        </w:rPr>
        <w:t xml:space="preserve">评标程序、评标方法和评标标准</w:t>
      </w:r>
      <w:r/>
    </w:p>
    <w:p>
      <w:pPr>
        <w:ind w:firstLine="360"/>
        <w:spacing w:line="500" w:lineRule="exact"/>
        <w:rPr>
          <w:rFonts w:hint="eastAsia"/>
        </w:rPr>
      </w:pPr>
      <w:r>
        <w:rPr>
          <w:rFonts w:hint="eastAsia"/>
        </w:rPr>
        <w:t xml:space="preserve">（5）</w:t>
      </w:r>
      <w:r>
        <w:rPr>
          <w:rFonts w:hint="eastAsia"/>
        </w:rPr>
        <w:t xml:space="preserve">采购需求</w:t>
      </w:r>
      <w:r/>
    </w:p>
    <w:p>
      <w:pPr>
        <w:ind w:firstLine="360"/>
        <w:spacing w:line="500" w:lineRule="exact"/>
        <w:rPr>
          <w:rFonts w:hint="eastAsia"/>
        </w:rPr>
      </w:pPr>
      <w:r>
        <w:rPr>
          <w:rFonts w:hint="eastAsia"/>
        </w:rPr>
        <w:t xml:space="preserve">（6）</w:t>
      </w:r>
      <w:r>
        <w:rPr>
          <w:rFonts w:hint="eastAsia"/>
        </w:rPr>
        <w:t xml:space="preserve">拟签订的合同文本</w:t>
      </w:r>
      <w:r/>
    </w:p>
    <w:p>
      <w:pPr>
        <w:ind w:firstLine="360"/>
        <w:spacing w:line="500" w:lineRule="exact"/>
        <w:rPr>
          <w:rFonts w:hint="eastAsia"/>
        </w:rPr>
      </w:pPr>
      <w:r>
        <w:rPr>
          <w:rFonts w:hint="eastAsia"/>
        </w:rPr>
        <w:t xml:space="preserve">（</w:t>
      </w:r>
      <w:r>
        <w:t xml:space="preserve">7</w:t>
      </w:r>
      <w:r>
        <w:rPr>
          <w:rFonts w:hint="eastAsia"/>
        </w:rPr>
        <w:t xml:space="preserve">）投标文件的组成及提交须知</w:t>
      </w:r>
      <w:r/>
    </w:p>
    <w:p>
      <w:pPr>
        <w:ind w:firstLine="360"/>
        <w:spacing w:line="500" w:lineRule="exact"/>
        <w:rPr>
          <w:rFonts w:hint="eastAsia"/>
        </w:rPr>
      </w:pPr>
      <w:r>
        <w:rPr>
          <w:rFonts w:hint="eastAsia"/>
        </w:rPr>
        <w:t xml:space="preserve">（</w:t>
      </w:r>
      <w:r>
        <w:t xml:space="preserve">8</w:t>
      </w:r>
      <w:r>
        <w:rPr>
          <w:rFonts w:hint="eastAsia"/>
        </w:rPr>
        <w:t xml:space="preserve">）投标文件格式</w:t>
      </w:r>
      <w:r/>
    </w:p>
    <w:p>
      <w:pPr>
        <w:ind w:firstLine="480"/>
        <w:spacing w:line="500" w:lineRule="exact"/>
        <w:rPr>
          <w:rFonts w:hint="eastAsia"/>
          <w:szCs w:val="21"/>
        </w:rPr>
      </w:pPr>
      <w:r>
        <w:rPr>
          <w:rFonts w:hint="eastAsia"/>
          <w:szCs w:val="21"/>
        </w:rPr>
        <w:t xml:space="preserve">请仔细检查招标文件是否齐全，如有缺漏请立即与</w:t>
      </w:r>
      <w:r>
        <w:rPr>
          <w:rFonts w:hint="eastAsia"/>
          <w:szCs w:val="21"/>
        </w:rPr>
        <w:t xml:space="preserve">代理机构</w:t>
      </w:r>
      <w:r>
        <w:rPr>
          <w:rFonts w:hint="eastAsia"/>
          <w:szCs w:val="21"/>
        </w:rPr>
        <w:t xml:space="preserve">联系解决。</w:t>
      </w:r>
      <w:r/>
    </w:p>
    <w:p>
      <w:pPr>
        <w:ind w:firstLine="480"/>
        <w:spacing w:line="500" w:lineRule="exact"/>
        <w:rPr>
          <w:rFonts w:hint="eastAsia"/>
          <w:szCs w:val="21"/>
        </w:rPr>
      </w:pPr>
      <w:r>
        <w:rPr>
          <w:rFonts w:hint="eastAsia"/>
          <w:bCs/>
          <w:szCs w:val="21"/>
        </w:rPr>
        <w:t xml:space="preserve">6.2</w:t>
      </w:r>
      <w:r>
        <w:rPr>
          <w:rFonts w:hint="eastAsia"/>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keepNext/>
        <w:spacing w:line="500" w:lineRule="exact"/>
        <w:rPr>
          <w:rFonts w:hint="eastAsia" w:cs="Arial"/>
          <w:sz w:val="28"/>
          <w:szCs w:val="28"/>
        </w:rPr>
        <w:outlineLvl w:val="3"/>
      </w:pPr>
      <w:r/>
      <w:bookmarkStart w:id="216" w:name="_Toc462564070"/>
      <w:r/>
      <w:bookmarkStart w:id="217" w:name="_Toc513029211"/>
      <w:r/>
      <w:bookmarkStart w:id="218" w:name="_Toc16938527"/>
      <w:r/>
      <w:bookmarkStart w:id="219" w:name="_Toc20823283"/>
      <w:r>
        <w:rPr>
          <w:rFonts w:hint="eastAsia" w:cs="Arial"/>
          <w:sz w:val="28"/>
          <w:szCs w:val="28"/>
        </w:rPr>
        <w:t xml:space="preserve">7、招标文件的澄清</w:t>
      </w:r>
      <w:bookmarkEnd w:id="216"/>
      <w:r/>
      <w:bookmarkEnd w:id="217"/>
      <w:r/>
      <w:bookmarkEnd w:id="218"/>
      <w:r/>
      <w:bookmarkEnd w:id="219"/>
      <w:r/>
      <w:r/>
    </w:p>
    <w:p>
      <w:pPr>
        <w:ind w:firstLine="480"/>
        <w:spacing w:line="500" w:lineRule="exact"/>
        <w:tabs>
          <w:tab w:val="left" w:pos="1080" w:leader="none"/>
          <w:tab w:val="left" w:pos="1561" w:leader="none"/>
          <w:tab w:val="left" w:pos="1589" w:leader="none"/>
          <w:tab w:val="left" w:pos="2014" w:leader="none"/>
        </w:tabs>
        <w:rPr>
          <w:rFonts w:hint="eastAsia"/>
        </w:rPr>
      </w:pPr>
      <w:r/>
      <w:bookmarkStart w:id="220" w:name="_Toc462564071"/>
      <w:r/>
      <w:bookmarkStart w:id="221" w:name="_Toc513029212"/>
      <w:r/>
      <w:bookmarkStart w:id="222" w:name="_Toc16938528"/>
      <w:r/>
      <w:bookmarkStart w:id="223" w:name="_Toc20823284"/>
      <w:r>
        <w:rPr>
          <w:rFonts w:hint="eastAsia"/>
        </w:rPr>
        <w:t xml:space="preserve">7</w:t>
      </w:r>
      <w:r>
        <w:t xml:space="preserve">.1</w:t>
      </w:r>
      <w:r>
        <w:rPr>
          <w:rFonts w:hint="eastAsia"/>
        </w:rPr>
        <w:t xml:space="preserve">、</w:t>
      </w:r>
      <w:r>
        <w:t xml:space="preserve">采购人或采购代理机构对已发出的招标文件进行必要澄清或者修改的，将在原公告发布媒体上以</w:t>
      </w:r>
      <w:r>
        <w:rPr>
          <w:rFonts w:hint="eastAsia"/>
        </w:rPr>
        <w:t xml:space="preserve">发布</w:t>
      </w:r>
      <w:r>
        <w:t xml:space="preserve">更正公告</w:t>
      </w:r>
      <w:r>
        <w:rPr>
          <w:rFonts w:hint="eastAsia"/>
        </w:rPr>
        <w:t xml:space="preserve">的</w:t>
      </w:r>
      <w:r>
        <w:t xml:space="preserve">形式通知所有获取招标文件的潜在投标人。</w:t>
      </w:r>
      <w:r/>
    </w:p>
    <w:p>
      <w:pPr>
        <w:ind w:firstLine="560"/>
        <w:keepLines/>
        <w:keepNext/>
        <w:spacing w:line="500" w:lineRule="exact"/>
        <w:rPr>
          <w:rFonts w:hint="eastAsia" w:cs="Arial"/>
          <w:sz w:val="28"/>
          <w:szCs w:val="28"/>
        </w:rPr>
        <w:outlineLvl w:val="3"/>
      </w:pPr>
      <w:r>
        <w:rPr>
          <w:rFonts w:hint="eastAsia" w:cs="Arial"/>
          <w:sz w:val="28"/>
          <w:szCs w:val="28"/>
        </w:rPr>
        <w:t xml:space="preserve">8、招标文件的修改</w:t>
      </w:r>
      <w:bookmarkEnd w:id="220"/>
      <w:r/>
      <w:bookmarkEnd w:id="221"/>
      <w:r/>
      <w:bookmarkEnd w:id="222"/>
      <w:r/>
      <w:bookmarkEnd w:id="223"/>
      <w:r/>
      <w:r/>
    </w:p>
    <w:p>
      <w:pPr>
        <w:ind w:firstLine="480"/>
        <w:spacing w:line="500" w:lineRule="exact"/>
        <w:rPr>
          <w:rFonts w:hint="eastAsia"/>
          <w:szCs w:val="21"/>
        </w:rPr>
      </w:pPr>
      <w:r>
        <w:rPr>
          <w:rFonts w:hint="eastAsia"/>
          <w:bCs/>
          <w:szCs w:val="21"/>
        </w:rPr>
        <w:t xml:space="preserve">8.1</w:t>
      </w:r>
      <w:r>
        <w:rPr>
          <w:rFonts w:hint="eastAsia"/>
          <w:szCs w:val="21"/>
        </w:rPr>
        <w:t xml:space="preserve"> 在投标截止时间前，</w:t>
      </w:r>
      <w:r>
        <w:rPr>
          <w:rFonts w:hint="eastAsia"/>
          <w:szCs w:val="21"/>
        </w:rPr>
        <w:t xml:space="preserve">代理机构</w:t>
      </w:r>
      <w:r>
        <w:rPr>
          <w:rFonts w:hint="eastAsia"/>
          <w:szCs w:val="21"/>
        </w:rPr>
        <w:t xml:space="preserve">可以对招标文件进行修改。</w:t>
      </w:r>
      <w:r/>
    </w:p>
    <w:p>
      <w:pPr>
        <w:ind w:firstLine="480"/>
        <w:spacing w:line="500" w:lineRule="exact"/>
        <w:rPr>
          <w:rFonts w:hint="eastAsia"/>
          <w:sz w:val="28"/>
          <w:szCs w:val="21"/>
        </w:rPr>
      </w:pPr>
      <w:r>
        <w:rPr>
          <w:rFonts w:hint="eastAsia"/>
          <w:bCs/>
          <w:szCs w:val="21"/>
        </w:rPr>
        <w:t xml:space="preserve">8.2 </w:t>
      </w:r>
      <w:r>
        <w:rPr>
          <w:rFonts w:hint="eastAsia"/>
          <w:szCs w:val="21"/>
        </w:rPr>
        <w:t xml:space="preserve">代理机构</w:t>
      </w:r>
      <w:r>
        <w:rPr>
          <w:rFonts w:hint="eastAsia"/>
        </w:rPr>
        <w:t xml:space="preserve">有权按照法定的要求</w:t>
      </w:r>
      <w:r>
        <w:rPr>
          <w:rFonts w:hint="eastAsia"/>
          <w:szCs w:val="21"/>
        </w:rPr>
        <w:t xml:space="preserve">推迟投标截止日期和开标日期。</w:t>
      </w:r>
      <w:r/>
    </w:p>
    <w:p>
      <w:pPr>
        <w:ind w:firstLine="480"/>
        <w:spacing w:line="500" w:lineRule="exact"/>
        <w:rPr>
          <w:rFonts w:hint="eastAsia"/>
          <w:szCs w:val="21"/>
        </w:rPr>
      </w:pPr>
      <w:r>
        <w:rPr>
          <w:rFonts w:hint="eastAsia"/>
          <w:bCs/>
          <w:szCs w:val="21"/>
        </w:rPr>
        <w:t xml:space="preserve">8.3 </w:t>
      </w:r>
      <w:r>
        <w:rPr>
          <w:rFonts w:hint="eastAsia"/>
          <w:szCs w:val="21"/>
        </w:rPr>
        <w:t xml:space="preserve">招标文件的修改将在“江苏省政府采购网”、“常州市政府采购网”公布，补充文件将作为招标文件的组成部分，并对投标人具有约束力。</w:t>
      </w:r>
      <w:r/>
    </w:p>
    <w:p>
      <w:pPr>
        <w:ind w:firstLine="482"/>
        <w:keepLines/>
        <w:keepNext/>
        <w:spacing w:line="500" w:lineRule="exact"/>
        <w:rPr>
          <w:rFonts w:hint="eastAsia"/>
          <w:b/>
          <w:bCs/>
          <w:sz w:val="32"/>
          <w:szCs w:val="32"/>
        </w:rPr>
        <w:outlineLvl w:val="2"/>
      </w:pPr>
      <w:r/>
      <w:bookmarkStart w:id="224" w:name="_Toc462564072"/>
      <w:r/>
      <w:bookmarkStart w:id="225" w:name="_Toc513029213"/>
      <w:r/>
      <w:bookmarkStart w:id="226" w:name="_Toc16938529"/>
      <w:r/>
      <w:bookmarkStart w:id="227" w:name="_Toc20823285"/>
      <w:r/>
      <w:bookmarkStart w:id="228" w:name="_Toc120614216"/>
      <w:r/>
      <w:bookmarkStart w:id="229" w:name="_Toc152683027"/>
      <w:r/>
      <w:bookmarkStart w:id="230" w:name="_Toc152683386"/>
      <w:r/>
      <w:bookmarkStart w:id="231" w:name="_Toc152683546"/>
      <w:r/>
      <w:bookmarkStart w:id="232" w:name="_Toc197636559"/>
      <w:r/>
      <w:bookmarkStart w:id="233" w:name="_Toc197636610"/>
      <w:r>
        <w:rPr>
          <w:rFonts w:hint="eastAsia"/>
          <w:b/>
          <w:bCs/>
          <w:sz w:val="32"/>
          <w:szCs w:val="32"/>
        </w:rPr>
        <w:t xml:space="preserve">三、投标文件的编制</w:t>
      </w:r>
      <w:bookmarkEnd w:id="224"/>
      <w:r/>
      <w:bookmarkEnd w:id="225"/>
      <w:r/>
      <w:bookmarkEnd w:id="226"/>
      <w:r/>
      <w:bookmarkEnd w:id="227"/>
      <w:r/>
      <w:bookmarkEnd w:id="228"/>
      <w:r/>
      <w:bookmarkEnd w:id="229"/>
      <w:r/>
      <w:bookmarkEnd w:id="230"/>
      <w:r/>
      <w:bookmarkEnd w:id="231"/>
      <w:r/>
      <w:bookmarkEnd w:id="232"/>
      <w:r/>
      <w:bookmarkEnd w:id="233"/>
      <w:r/>
      <w:r/>
    </w:p>
    <w:p>
      <w:pPr>
        <w:ind w:firstLine="560"/>
        <w:keepLines/>
        <w:keepNext/>
        <w:spacing w:line="500" w:lineRule="exact"/>
        <w:rPr>
          <w:rFonts w:hint="eastAsia" w:cs="Arial"/>
          <w:b/>
          <w:sz w:val="28"/>
          <w:szCs w:val="28"/>
        </w:rPr>
        <w:outlineLvl w:val="3"/>
      </w:pPr>
      <w:r/>
      <w:bookmarkStart w:id="234" w:name="_Toc462564073"/>
      <w:r/>
      <w:bookmarkStart w:id="235" w:name="_Toc513029214"/>
      <w:r/>
      <w:bookmarkStart w:id="236" w:name="_Toc16938530"/>
      <w:r/>
      <w:bookmarkStart w:id="237" w:name="_Toc20823286"/>
      <w:r>
        <w:rPr>
          <w:rFonts w:hint="eastAsia" w:cs="Arial"/>
          <w:sz w:val="28"/>
          <w:szCs w:val="28"/>
        </w:rPr>
        <w:t xml:space="preserve">9、投标文件的语言及度量衡单位</w:t>
      </w:r>
      <w:bookmarkEnd w:id="234"/>
      <w:r/>
      <w:bookmarkEnd w:id="235"/>
      <w:r/>
      <w:bookmarkEnd w:id="236"/>
      <w:r/>
      <w:bookmarkEnd w:id="237"/>
      <w:r/>
      <w:r/>
    </w:p>
    <w:p>
      <w:pPr>
        <w:ind w:firstLine="480"/>
        <w:spacing w:line="500" w:lineRule="exact"/>
        <w:rPr>
          <w:rFonts w:hint="eastAsia"/>
          <w:szCs w:val="21"/>
        </w:rPr>
      </w:pPr>
      <w:r>
        <w:rPr>
          <w:rFonts w:hint="eastAsia"/>
          <w:bCs/>
          <w:szCs w:val="21"/>
        </w:rPr>
        <w:t xml:space="preserve">9.1</w:t>
      </w:r>
      <w:r>
        <w:rPr>
          <w:rFonts w:hint="eastAsia"/>
          <w:szCs w:val="21"/>
        </w:rPr>
        <w:t xml:space="preserve"> 投标人提交的投标文件以及投标人与</w:t>
      </w:r>
      <w:r>
        <w:rPr>
          <w:rFonts w:hint="eastAsia"/>
          <w:szCs w:val="21"/>
        </w:rPr>
        <w:t xml:space="preserve">代理机构</w:t>
      </w:r>
      <w:r>
        <w:rPr>
          <w:rFonts w:hint="eastAsia"/>
          <w:szCs w:val="21"/>
        </w:rPr>
        <w:t xml:space="preserve">就有关投标的所有来往通知、函件和文件均应使用</w:t>
      </w:r>
      <w:r>
        <w:rPr>
          <w:rFonts w:hint="eastAsia"/>
          <w:b/>
          <w:bCs/>
          <w:szCs w:val="21"/>
        </w:rPr>
        <w:t xml:space="preserve">简体中文</w:t>
      </w:r>
      <w:r>
        <w:rPr>
          <w:rFonts w:hint="eastAsia"/>
          <w:szCs w:val="21"/>
        </w:rPr>
        <w:t xml:space="preserve">。</w:t>
      </w:r>
      <w:r/>
    </w:p>
    <w:p>
      <w:pPr>
        <w:ind w:firstLine="480"/>
        <w:spacing w:line="500" w:lineRule="exact"/>
        <w:rPr>
          <w:rFonts w:hint="eastAsia"/>
          <w:szCs w:val="21"/>
        </w:rPr>
      </w:pPr>
      <w:r>
        <w:rPr>
          <w:rFonts w:hint="eastAsia"/>
          <w:bCs/>
          <w:szCs w:val="21"/>
        </w:rPr>
        <w:t xml:space="preserve">9.2</w:t>
      </w:r>
      <w:r>
        <w:rPr>
          <w:rFonts w:hint="eastAsia"/>
          <w:szCs w:val="21"/>
        </w:rPr>
        <w:t xml:space="preserve"> 除技术性能另有规定外，投标文件所使用的度量衡单位，均须采用国家法定计量单位。</w:t>
      </w:r>
      <w:r/>
    </w:p>
    <w:p>
      <w:pPr>
        <w:ind w:firstLine="420"/>
        <w:keepLines/>
        <w:keepNext/>
        <w:spacing w:line="500" w:lineRule="exact"/>
        <w:rPr>
          <w:rFonts w:hint="eastAsia" w:cs="Arial"/>
          <w:sz w:val="28"/>
          <w:szCs w:val="28"/>
        </w:rPr>
        <w:outlineLvl w:val="3"/>
      </w:pPr>
      <w:r/>
      <w:bookmarkStart w:id="238" w:name="_Toc462564074"/>
      <w:r/>
      <w:bookmarkStart w:id="239" w:name="_Toc513029215"/>
      <w:r/>
      <w:bookmarkStart w:id="240" w:name="_Toc16938531"/>
      <w:r/>
      <w:bookmarkStart w:id="241" w:name="_Toc20823287"/>
      <w:r>
        <w:rPr>
          <w:rFonts w:hint="eastAsia" w:cs="Arial"/>
          <w:sz w:val="28"/>
          <w:szCs w:val="28"/>
        </w:rPr>
        <w:t xml:space="preserve">10、投标文件构成</w:t>
      </w:r>
      <w:bookmarkEnd w:id="238"/>
      <w:r/>
      <w:bookmarkEnd w:id="239"/>
      <w:r/>
      <w:bookmarkEnd w:id="240"/>
      <w:r/>
      <w:bookmarkEnd w:id="241"/>
      <w:r/>
      <w:r/>
    </w:p>
    <w:p>
      <w:pPr>
        <w:ind w:firstLine="480"/>
        <w:spacing w:line="500" w:lineRule="exact"/>
        <w:rPr>
          <w:rFonts w:hint="eastAsia"/>
          <w:szCs w:val="21"/>
        </w:rPr>
      </w:pPr>
      <w:r>
        <w:rPr>
          <w:rFonts w:hint="eastAsia"/>
          <w:bCs/>
          <w:szCs w:val="21"/>
        </w:rPr>
        <w:t xml:space="preserve">10.1</w:t>
      </w:r>
      <w:r>
        <w:rPr>
          <w:rFonts w:hint="eastAsia"/>
          <w:szCs w:val="21"/>
        </w:rPr>
        <w:t xml:space="preserve"> 投标人编写的投标文件应包括资格证明文件、符合性证明文件、投标</w:t>
      </w:r>
      <w:r>
        <w:rPr>
          <w:rFonts w:hint="eastAsia"/>
          <w:szCs w:val="21"/>
        </w:rPr>
        <w:t xml:space="preserve">报价明细</w:t>
      </w:r>
      <w:r>
        <w:rPr>
          <w:rFonts w:hint="eastAsia"/>
          <w:szCs w:val="21"/>
        </w:rPr>
        <w:t xml:space="preserve">表、技术偏离表、其他证明文件、投标函、开标一览表等部分。</w:t>
      </w:r>
      <w:r/>
    </w:p>
    <w:p>
      <w:pPr>
        <w:ind w:firstLine="480"/>
        <w:spacing w:line="500" w:lineRule="exact"/>
        <w:rPr>
          <w:rFonts w:hint="eastAsia"/>
          <w:szCs w:val="21"/>
        </w:rPr>
      </w:pPr>
      <w:r>
        <w:rPr>
          <w:rFonts w:hint="eastAsia"/>
          <w:szCs w:val="21"/>
        </w:rPr>
        <w:t xml:space="preserve">10.2 如标书制作工具中格式和内容与</w:t>
      </w:r>
      <w:r>
        <w:rPr>
          <w:rFonts w:hint="eastAsia"/>
          <w:szCs w:val="21"/>
        </w:rPr>
        <w:t xml:space="preserve">“江苏省政府采购网”、</w:t>
      </w:r>
      <w:r>
        <w:rPr>
          <w:rFonts w:hint="eastAsia"/>
          <w:szCs w:val="21"/>
        </w:rPr>
        <w:t xml:space="preserve">“</w:t>
      </w:r>
      <w:r>
        <w:rPr>
          <w:rFonts w:hint="eastAsia"/>
          <w:szCs w:val="21"/>
        </w:rPr>
        <w:t xml:space="preserve">常州市政府采购网</w:t>
      </w:r>
      <w:r>
        <w:rPr>
          <w:rFonts w:hint="eastAsia"/>
          <w:szCs w:val="21"/>
        </w:rPr>
        <w:t xml:space="preserve">”发布的招标文件不一致，请以</w:t>
      </w:r>
      <w:r>
        <w:rPr>
          <w:rFonts w:hint="eastAsia"/>
          <w:szCs w:val="21"/>
        </w:rPr>
        <w:t xml:space="preserve">“江苏省政府采购网”、</w:t>
      </w:r>
      <w:r>
        <w:rPr>
          <w:rFonts w:hint="eastAsia"/>
          <w:szCs w:val="21"/>
        </w:rPr>
        <w:t xml:space="preserve">“</w:t>
      </w:r>
      <w:r>
        <w:rPr>
          <w:rFonts w:hint="eastAsia"/>
          <w:szCs w:val="21"/>
        </w:rPr>
        <w:t xml:space="preserve">常州市政府采购网</w:t>
      </w:r>
      <w:r>
        <w:rPr>
          <w:rFonts w:hint="eastAsia"/>
          <w:szCs w:val="21"/>
        </w:rPr>
        <w:t xml:space="preserve">”发布的招标文件为准。</w:t>
      </w:r>
      <w:r/>
    </w:p>
    <w:p>
      <w:pPr>
        <w:ind w:firstLine="420"/>
        <w:keepLines/>
        <w:keepNext/>
        <w:spacing w:line="500" w:lineRule="exact"/>
        <w:rPr>
          <w:rFonts w:hint="eastAsia" w:cs="Arial"/>
          <w:sz w:val="28"/>
          <w:szCs w:val="28"/>
        </w:rPr>
        <w:outlineLvl w:val="3"/>
      </w:pPr>
      <w:r/>
      <w:bookmarkStart w:id="242" w:name="_Hlt26668975"/>
      <w:r/>
      <w:bookmarkStart w:id="243" w:name="_Hlt26670360"/>
      <w:r/>
      <w:bookmarkStart w:id="244" w:name="_Hlt26954838"/>
      <w:r/>
      <w:bookmarkStart w:id="245" w:name="_Toc513029219"/>
      <w:r/>
      <w:bookmarkStart w:id="246" w:name="_Toc14577357"/>
      <w:r/>
      <w:bookmarkStart w:id="247" w:name="_Toc49090509"/>
      <w:r/>
      <w:bookmarkStart w:id="248" w:name="_Toc513029216"/>
      <w:r/>
      <w:bookmarkStart w:id="249" w:name="_Toc14577354"/>
      <w:r/>
      <w:bookmarkStart w:id="250" w:name="_Toc49090507"/>
      <w:r/>
      <w:bookmarkStart w:id="251" w:name="_Toc49090508"/>
      <w:r/>
      <w:bookmarkStart w:id="252" w:name="_Toc14577355"/>
      <w:r/>
      <w:bookmarkEnd w:id="242"/>
      <w:r/>
      <w:bookmarkEnd w:id="243"/>
      <w:r/>
      <w:bookmarkEnd w:id="244"/>
      <w:r>
        <w:rPr>
          <w:rFonts w:hint="eastAsia" w:cs="Arial"/>
          <w:sz w:val="28"/>
          <w:szCs w:val="28"/>
        </w:rPr>
        <w:t xml:space="preserve">11、证明投标人及投标标的符合招标文件规定的文件</w:t>
      </w:r>
      <w:bookmarkEnd w:id="245"/>
      <w:r/>
      <w:bookmarkEnd w:id="246"/>
      <w:r/>
      <w:bookmarkEnd w:id="247"/>
      <w:r/>
      <w:bookmarkEnd w:id="248"/>
      <w:bookmarkEnd w:id="249"/>
      <w:bookmarkEnd w:id="250"/>
      <w:r/>
    </w:p>
    <w:p>
      <w:pPr>
        <w:spacing w:line="500" w:lineRule="exact"/>
        <w:rPr>
          <w:rFonts w:hint="eastAsia"/>
        </w:rPr>
      </w:pPr>
      <w:r>
        <w:rPr>
          <w:rFonts w:hint="eastAsia"/>
        </w:rPr>
        <w:t xml:space="preserve">    11.1 投标人应按照招标文件要求提交证明文件，证明其及投标标的符合招标文件规定。</w:t>
      </w:r>
      <w:r/>
    </w:p>
    <w:p>
      <w:pPr>
        <w:ind w:firstLine="480"/>
        <w:spacing w:line="500" w:lineRule="exact"/>
        <w:rPr>
          <w:rFonts w:hint="eastAsia"/>
        </w:rPr>
      </w:pPr>
      <w:r>
        <w:rPr>
          <w:rFonts w:hint="eastAsia"/>
        </w:rPr>
        <w:t xml:space="preserve">11.2招标文件对证明文件无明确形式要求的，证明文件可以以文字资料、图纸和数据等形式提交。</w:t>
      </w:r>
      <w:bookmarkEnd w:id="251"/>
      <w:bookmarkEnd w:id="252"/>
      <w:r/>
    </w:p>
    <w:p>
      <w:pPr>
        <w:ind w:firstLine="420"/>
        <w:keepLines/>
        <w:keepNext/>
        <w:spacing w:line="500" w:lineRule="exact"/>
        <w:rPr>
          <w:rFonts w:hint="eastAsia" w:cs="Arial"/>
          <w:sz w:val="28"/>
          <w:szCs w:val="28"/>
        </w:rPr>
        <w:outlineLvl w:val="3"/>
      </w:pPr>
      <w:r>
        <w:rPr>
          <w:rFonts w:hint="eastAsia" w:cs="Arial"/>
          <w:sz w:val="28"/>
          <w:szCs w:val="28"/>
        </w:rPr>
        <w:t xml:space="preserve">12、投标</w:t>
      </w:r>
      <w:r>
        <w:rPr>
          <w:rFonts w:hint="eastAsia" w:cs="Arial"/>
          <w:sz w:val="28"/>
          <w:szCs w:val="28"/>
        </w:rPr>
        <w:t xml:space="preserve">报价明细表</w:t>
      </w:r>
      <w:r/>
    </w:p>
    <w:p>
      <w:pPr>
        <w:ind w:firstLine="480"/>
        <w:spacing w:line="500" w:lineRule="exact"/>
        <w:rPr>
          <w:rFonts w:hint="eastAsia"/>
          <w:bCs/>
          <w:szCs w:val="21"/>
        </w:rPr>
      </w:pPr>
      <w:r>
        <w:rPr>
          <w:rFonts w:hint="eastAsia"/>
          <w:bCs/>
          <w:szCs w:val="21"/>
        </w:rPr>
        <w:t xml:space="preserve">12.1</w:t>
      </w:r>
      <w:r>
        <w:rPr>
          <w:rFonts w:hint="eastAsia"/>
          <w:szCs w:val="21"/>
        </w:rPr>
        <w:t xml:space="preserve"> 投标人应按照招标文件规定格式填报投标</w:t>
      </w:r>
      <w:r>
        <w:rPr>
          <w:rFonts w:hint="eastAsia"/>
          <w:szCs w:val="21"/>
        </w:rPr>
        <w:t xml:space="preserve">报价明细表</w:t>
      </w:r>
      <w:r>
        <w:rPr>
          <w:rFonts w:hint="eastAsia"/>
          <w:szCs w:val="21"/>
        </w:rPr>
        <w:t xml:space="preserve">。</w:t>
      </w:r>
      <w:r/>
    </w:p>
    <w:p>
      <w:pPr>
        <w:ind w:firstLine="480"/>
        <w:spacing w:line="500" w:lineRule="exact"/>
        <w:rPr>
          <w:rFonts w:hint="eastAsia"/>
          <w:bCs/>
          <w:szCs w:val="21"/>
        </w:rPr>
      </w:pPr>
      <w:r>
        <w:rPr>
          <w:rFonts w:hint="eastAsia"/>
          <w:szCs w:val="21"/>
        </w:rPr>
        <w:t xml:space="preserve">12.2</w:t>
      </w:r>
      <w:r>
        <w:rPr>
          <w:rFonts w:hint="eastAsia"/>
          <w:bCs/>
          <w:szCs w:val="21"/>
        </w:rPr>
        <w:t xml:space="preserve">投标货币。投标文件中的单价和总价无特殊规定的采用人民币报价，以元为单位标注。</w:t>
      </w:r>
      <w:r>
        <w:rPr>
          <w:rFonts w:hint="eastAsia"/>
          <w:szCs w:val="21"/>
        </w:rPr>
        <w:t xml:space="preserve">招标文件中另有规定的按规定执行。</w:t>
      </w:r>
      <w:r/>
    </w:p>
    <w:p>
      <w:pPr>
        <w:ind w:firstLine="420"/>
        <w:keepLines/>
        <w:keepNext/>
        <w:spacing w:line="500" w:lineRule="exact"/>
        <w:rPr>
          <w:rFonts w:hint="eastAsia" w:cs="Arial"/>
          <w:sz w:val="28"/>
          <w:szCs w:val="28"/>
        </w:rPr>
        <w:outlineLvl w:val="3"/>
      </w:pPr>
      <w:r/>
      <w:bookmarkStart w:id="253" w:name="_Hlt26670482"/>
      <w:r/>
      <w:bookmarkStart w:id="254" w:name="_Hlt26954846"/>
      <w:r/>
      <w:bookmarkStart w:id="255" w:name="_Hlt26670486"/>
      <w:r/>
      <w:bookmarkStart w:id="256" w:name="_Hlt26954731"/>
      <w:r/>
      <w:bookmarkStart w:id="257" w:name="_Hlt26954848"/>
      <w:r/>
      <w:bookmarkEnd w:id="253"/>
      <w:r/>
      <w:bookmarkEnd w:id="254"/>
      <w:r/>
      <w:bookmarkEnd w:id="255"/>
      <w:r/>
      <w:bookmarkEnd w:id="256"/>
      <w:r/>
      <w:bookmarkEnd w:id="257"/>
      <w:r>
        <w:rPr>
          <w:rFonts w:hint="eastAsia" w:cs="Arial"/>
          <w:sz w:val="28"/>
          <w:szCs w:val="28"/>
        </w:rPr>
        <w:t xml:space="preserve">13、技术要求响应及偏离表、商务要求响应及偏离表</w:t>
      </w:r>
      <w:r/>
    </w:p>
    <w:p>
      <w:pPr>
        <w:ind w:firstLine="480"/>
        <w:spacing w:line="500" w:lineRule="exact"/>
        <w:rPr>
          <w:rFonts w:hint="eastAsia"/>
          <w:szCs w:val="21"/>
          <w:lang w:val="zh-CN"/>
        </w:rPr>
      </w:pPr>
      <w:r>
        <w:rPr>
          <w:bCs/>
          <w:szCs w:val="21"/>
          <w:lang w:val="zh-CN"/>
        </w:rPr>
        <w:t xml:space="preserve">1</w:t>
      </w:r>
      <w:r>
        <w:rPr>
          <w:rFonts w:hint="eastAsia"/>
          <w:bCs/>
          <w:szCs w:val="21"/>
          <w:lang w:val="zh-CN"/>
        </w:rPr>
        <w:t xml:space="preserve">3</w:t>
      </w:r>
      <w:r>
        <w:rPr>
          <w:bCs/>
          <w:szCs w:val="21"/>
          <w:lang w:val="zh-CN"/>
        </w:rPr>
        <w:t xml:space="preserve">.1</w:t>
      </w:r>
      <w:r>
        <w:rPr>
          <w:rFonts w:hint="eastAsia"/>
          <w:bCs/>
          <w:szCs w:val="21"/>
          <w:lang w:val="zh-CN"/>
        </w:rPr>
        <w:t xml:space="preserve"> </w:t>
      </w:r>
      <w:r>
        <w:rPr>
          <w:rFonts w:hint="eastAsia"/>
          <w:szCs w:val="21"/>
          <w:lang w:val="zh-CN"/>
        </w:rPr>
        <w:t xml:space="preserve">投标人需对招标文件中的技术要求逐项作出响应或偏离，并说明原因。</w:t>
      </w:r>
      <w:r/>
    </w:p>
    <w:p>
      <w:pPr>
        <w:ind w:firstLine="480"/>
        <w:spacing w:line="500" w:lineRule="exact"/>
        <w:rPr>
          <w:rFonts w:hint="eastAsia"/>
          <w:szCs w:val="21"/>
          <w:lang w:val="zh-CN"/>
        </w:rPr>
      </w:pPr>
      <w:r>
        <w:rPr>
          <w:rFonts w:hint="eastAsia"/>
          <w:szCs w:val="21"/>
          <w:lang w:val="zh-CN"/>
        </w:rPr>
        <w:t xml:space="preserve">13.2 投标人可在投标文件中提供认为需要的其他技术文件或说明。</w:t>
      </w:r>
      <w:r/>
    </w:p>
    <w:p>
      <w:pPr>
        <w:ind w:firstLine="420"/>
        <w:keepLines/>
        <w:keepNext/>
        <w:spacing w:line="500" w:lineRule="exact"/>
        <w:rPr>
          <w:rFonts w:hint="eastAsia" w:cs="Arial"/>
          <w:sz w:val="28"/>
          <w:szCs w:val="28"/>
        </w:rPr>
        <w:outlineLvl w:val="3"/>
      </w:pPr>
      <w:r>
        <w:rPr>
          <w:rFonts w:hint="eastAsia" w:cs="Arial"/>
          <w:sz w:val="28"/>
          <w:szCs w:val="28"/>
        </w:rPr>
        <w:t xml:space="preserve">14、服务承诺、培训计划、人员安排及其他</w:t>
      </w:r>
      <w:r/>
    </w:p>
    <w:p>
      <w:pPr>
        <w:ind w:firstLine="480"/>
        <w:spacing w:line="500" w:lineRule="exact"/>
        <w:rPr>
          <w:rFonts w:hint="eastAsia"/>
        </w:rPr>
      </w:pPr>
      <w:r>
        <w:rPr>
          <w:rFonts w:hint="eastAsia"/>
          <w:bCs/>
        </w:rPr>
        <w:t xml:space="preserve">14.1 </w:t>
      </w:r>
      <w:r>
        <w:rPr>
          <w:rFonts w:hint="eastAsia"/>
        </w:rPr>
        <w:t xml:space="preserve">投标人需根据招标文件要求提供有关售后服务的管理制度，售后服务机构的分布情况，售后服务人员的数量、素质、技术水平及售后服务的反应能力等。</w:t>
      </w:r>
      <w:r/>
    </w:p>
    <w:p>
      <w:pPr>
        <w:ind w:firstLine="480"/>
        <w:spacing w:line="500" w:lineRule="exact"/>
        <w:rPr>
          <w:rFonts w:hint="eastAsia"/>
        </w:rPr>
      </w:pPr>
      <w:r>
        <w:rPr>
          <w:rFonts w:hint="eastAsia"/>
        </w:rPr>
        <w:t xml:space="preserve">14.2 投标人需根据招标文件要求提供培训计划。</w:t>
      </w:r>
      <w:r/>
    </w:p>
    <w:p>
      <w:pPr>
        <w:ind w:firstLine="480"/>
        <w:spacing w:line="500" w:lineRule="exact"/>
        <w:rPr>
          <w:rFonts w:hint="eastAsia"/>
        </w:rPr>
      </w:pPr>
      <w:r>
        <w:rPr>
          <w:rFonts w:hint="eastAsia"/>
        </w:rPr>
        <w:t xml:space="preserve">14.3 投标人需根据招标文件要求提供</w:t>
      </w:r>
      <w:r>
        <w:rPr>
          <w:rFonts w:hint="eastAsia"/>
          <w:szCs w:val="21"/>
          <w:lang w:val="zh-CN"/>
        </w:rPr>
        <w:t xml:space="preserve">所投标的的主要组成部分、功能设计、实现思路及关键技术等。</w:t>
      </w:r>
      <w:r/>
    </w:p>
    <w:p>
      <w:pPr>
        <w:ind w:firstLine="420"/>
        <w:keepLines/>
        <w:keepNext/>
        <w:spacing w:line="500" w:lineRule="exact"/>
        <w:rPr>
          <w:rFonts w:hint="eastAsia" w:cs="Arial"/>
          <w:sz w:val="28"/>
          <w:szCs w:val="28"/>
        </w:rPr>
        <w:outlineLvl w:val="3"/>
      </w:pPr>
      <w:r/>
      <w:bookmarkStart w:id="258" w:name="_Toc14577359"/>
      <w:r/>
      <w:bookmarkStart w:id="259" w:name="_Toc49090510"/>
      <w:r>
        <w:rPr>
          <w:rFonts w:hint="eastAsia" w:cs="Arial"/>
          <w:sz w:val="28"/>
          <w:szCs w:val="28"/>
        </w:rPr>
        <w:t xml:space="preserve">15、投标函和开标一览表</w:t>
      </w:r>
      <w:r/>
    </w:p>
    <w:p>
      <w:pPr>
        <w:ind w:firstLine="480"/>
        <w:spacing w:line="500" w:lineRule="exact"/>
        <w:rPr>
          <w:rFonts w:hint="eastAsia"/>
          <w:szCs w:val="21"/>
        </w:rPr>
      </w:pPr>
      <w:r>
        <w:rPr>
          <w:rFonts w:hint="eastAsia"/>
          <w:bCs/>
          <w:szCs w:val="21"/>
        </w:rPr>
        <w:t xml:space="preserve">15.1</w:t>
      </w:r>
      <w:r>
        <w:rPr>
          <w:rFonts w:hint="eastAsia"/>
          <w:szCs w:val="21"/>
        </w:rPr>
        <w:t xml:space="preserve"> 投标人应按照招标文件中提供的格式完整、正确填写投标函、开标一览表。</w:t>
      </w:r>
      <w:r/>
    </w:p>
    <w:p>
      <w:pPr>
        <w:ind w:firstLine="480"/>
        <w:spacing w:line="500" w:lineRule="exact"/>
        <w:rPr>
          <w:rFonts w:hint="eastAsia"/>
          <w:szCs w:val="21"/>
        </w:rPr>
      </w:pPr>
      <w:r>
        <w:rPr>
          <w:rFonts w:hint="eastAsia"/>
          <w:szCs w:val="21"/>
        </w:rPr>
        <w:t xml:space="preserve">15.2 对于采用货币报价的项目，开标一览表中的投标总报价应与</w:t>
      </w:r>
      <w:r>
        <w:rPr>
          <w:rFonts w:hint="eastAsia"/>
          <w:szCs w:val="21"/>
        </w:rPr>
        <w:t xml:space="preserve">报价明细</w:t>
      </w:r>
      <w:r>
        <w:rPr>
          <w:rFonts w:hint="eastAsia"/>
          <w:szCs w:val="21"/>
        </w:rPr>
        <w:t xml:space="preserve">表中的投标总报价一致，如不一致，不作为无效投标处理，但评标时按开标一览表中价格为准。</w:t>
      </w:r>
      <w:r/>
    </w:p>
    <w:p>
      <w:pPr>
        <w:ind w:firstLine="420"/>
        <w:keepLines/>
        <w:keepNext/>
        <w:spacing w:line="500" w:lineRule="exact"/>
        <w:rPr>
          <w:rFonts w:hint="eastAsia" w:cs="Arial"/>
          <w:sz w:val="28"/>
          <w:szCs w:val="28"/>
        </w:rPr>
        <w:outlineLvl w:val="3"/>
      </w:pPr>
      <w:r/>
      <w:bookmarkStart w:id="260" w:name="_Toc14577360"/>
      <w:r/>
      <w:bookmarkStart w:id="261" w:name="_Toc49090511"/>
      <w:r/>
      <w:bookmarkEnd w:id="258"/>
      <w:r/>
      <w:bookmarkEnd w:id="259"/>
      <w:r>
        <w:rPr>
          <w:rFonts w:hint="eastAsia" w:cs="Arial"/>
          <w:sz w:val="28"/>
          <w:szCs w:val="28"/>
        </w:rPr>
        <w:t xml:space="preserve">16、投标有效期</w:t>
      </w:r>
      <w:bookmarkEnd w:id="260"/>
      <w:r/>
      <w:bookmarkEnd w:id="261"/>
      <w:r/>
      <w:r/>
    </w:p>
    <w:p>
      <w:pPr>
        <w:ind w:firstLine="480"/>
        <w:spacing w:line="500" w:lineRule="exact"/>
        <w:rPr>
          <w:rFonts w:hint="eastAsia"/>
          <w:bCs/>
          <w:szCs w:val="21"/>
        </w:rPr>
      </w:pPr>
      <w:r>
        <w:rPr>
          <w:rFonts w:hint="eastAsia"/>
          <w:bCs/>
          <w:szCs w:val="21"/>
        </w:rPr>
        <w:t xml:space="preserve">16.1投标有效期为</w:t>
      </w:r>
      <w:r>
        <w:rPr>
          <w:rFonts w:hint="eastAsia"/>
          <w:szCs w:val="21"/>
        </w:rPr>
        <w:t xml:space="preserve">代理机构</w:t>
      </w:r>
      <w:r>
        <w:rPr>
          <w:rFonts w:hint="eastAsia"/>
          <w:bCs/>
          <w:szCs w:val="21"/>
        </w:rPr>
        <w:t xml:space="preserve">规定的开标之日后</w:t>
      </w:r>
      <w:r>
        <w:rPr>
          <w:rFonts w:hint="eastAsia"/>
          <w:b/>
          <w:szCs w:val="21"/>
          <w:u w:val="single"/>
        </w:rPr>
        <w:t xml:space="preserve">60天</w:t>
      </w:r>
      <w:r>
        <w:rPr>
          <w:rFonts w:hint="eastAsia"/>
          <w:bCs/>
          <w:szCs w:val="21"/>
        </w:rPr>
        <w:t xml:space="preserve">。投标有效期比规定短的将被视为未实质性响应招标文件而予以拒绝。</w:t>
      </w:r>
      <w:r/>
    </w:p>
    <w:p>
      <w:pPr>
        <w:ind w:firstLine="420"/>
        <w:keepLines/>
        <w:keepNext/>
        <w:spacing w:line="500" w:lineRule="exact"/>
        <w:rPr>
          <w:rFonts w:hint="eastAsia" w:cs="Arial"/>
          <w:sz w:val="28"/>
          <w:szCs w:val="28"/>
        </w:rPr>
        <w:outlineLvl w:val="3"/>
      </w:pPr>
      <w:r>
        <w:rPr>
          <w:rFonts w:hint="eastAsia" w:cs="Arial"/>
          <w:sz w:val="28"/>
          <w:szCs w:val="28"/>
        </w:rPr>
        <w:t xml:space="preserve">1</w:t>
      </w:r>
      <w:r>
        <w:rPr>
          <w:rFonts w:cs="Arial"/>
          <w:sz w:val="28"/>
          <w:szCs w:val="28"/>
        </w:rPr>
        <w:t xml:space="preserve">7</w:t>
      </w:r>
      <w:r>
        <w:rPr>
          <w:rFonts w:hint="eastAsia" w:cs="Arial"/>
          <w:sz w:val="28"/>
          <w:szCs w:val="28"/>
        </w:rPr>
        <w:t xml:space="preserve">、投标有效期的延长</w:t>
      </w:r>
      <w:r/>
    </w:p>
    <w:p>
      <w:pPr>
        <w:ind w:firstLine="480"/>
        <w:spacing w:line="500" w:lineRule="exact"/>
        <w:rPr>
          <w:rFonts w:hint="eastAsia"/>
          <w:bCs/>
          <w:szCs w:val="21"/>
        </w:rPr>
      </w:pPr>
      <w:r>
        <w:rPr>
          <w:rFonts w:hint="eastAsia"/>
          <w:bCs/>
          <w:szCs w:val="21"/>
        </w:rPr>
        <w:t xml:space="preserve">17.1在特殊情况下，</w:t>
      </w:r>
      <w:r>
        <w:rPr>
          <w:rFonts w:hint="eastAsia"/>
          <w:szCs w:val="21"/>
        </w:rPr>
        <w:t xml:space="preserve">代理机构</w:t>
      </w:r>
      <w:r>
        <w:rPr>
          <w:rFonts w:hint="eastAsia"/>
          <w:bCs/>
          <w:szCs w:val="21"/>
        </w:rPr>
        <w:t xml:space="preserve">于原投标有效期满之前，可向投标人提出延长投标有效期的要求。这种要求与答复均应采用书面形式。投标人可以拒绝</w:t>
      </w:r>
      <w:r>
        <w:rPr>
          <w:rFonts w:hint="eastAsia"/>
          <w:szCs w:val="21"/>
        </w:rPr>
        <w:t xml:space="preserve">代理机构</w:t>
      </w:r>
      <w:r>
        <w:rPr>
          <w:rFonts w:hint="eastAsia"/>
          <w:bCs/>
          <w:szCs w:val="21"/>
        </w:rPr>
        <w:t xml:space="preserve">的这一要求而放弃投标，同意延长投标有效期的投标人既不能要求也不允许修改其投标文件。</w:t>
      </w:r>
      <w:r>
        <w:rPr>
          <w:rFonts w:hint="eastAsia"/>
        </w:rPr>
        <w:t xml:space="preserve">受投标有效期约束的所有权利与义务均延长至新的有效期</w:t>
      </w:r>
      <w:r>
        <w:rPr>
          <w:rFonts w:hint="eastAsia"/>
          <w:bCs/>
          <w:szCs w:val="21"/>
        </w:rPr>
        <w:t xml:space="preserve">。</w:t>
      </w:r>
      <w:r/>
    </w:p>
    <w:p>
      <w:pPr>
        <w:ind w:firstLine="643"/>
        <w:keepLines/>
        <w:keepNext/>
        <w:spacing w:line="500" w:lineRule="exact"/>
        <w:rPr>
          <w:rFonts w:hint="eastAsia"/>
          <w:b/>
          <w:bCs/>
          <w:sz w:val="32"/>
          <w:szCs w:val="32"/>
        </w:rPr>
        <w:outlineLvl w:val="2"/>
      </w:pPr>
      <w:r/>
      <w:bookmarkStart w:id="262" w:name="_Hlt26954739"/>
      <w:r/>
      <w:bookmarkStart w:id="263" w:name="_Hlt26954852"/>
      <w:r/>
      <w:bookmarkStart w:id="264" w:name="_Toc513029224"/>
      <w:r/>
      <w:bookmarkStart w:id="265" w:name="_Toc16938540"/>
      <w:r/>
      <w:bookmarkStart w:id="266" w:name="_Toc20823296"/>
      <w:r/>
      <w:bookmarkStart w:id="267" w:name="_Toc120614217"/>
      <w:r/>
      <w:bookmarkStart w:id="268" w:name="_Toc152683028"/>
      <w:r/>
      <w:bookmarkStart w:id="269" w:name="_Toc152683387"/>
      <w:r/>
      <w:bookmarkStart w:id="270" w:name="_Toc152683547"/>
      <w:r/>
      <w:bookmarkStart w:id="271" w:name="_Toc197636560"/>
      <w:r/>
      <w:bookmarkStart w:id="272" w:name="_Toc197636611"/>
      <w:r/>
      <w:bookmarkEnd w:id="262"/>
      <w:r/>
      <w:bookmarkEnd w:id="263"/>
      <w:r>
        <w:rPr>
          <w:rFonts w:hint="eastAsia"/>
          <w:b/>
          <w:bCs/>
          <w:sz w:val="32"/>
          <w:szCs w:val="32"/>
        </w:rPr>
        <w:t xml:space="preserve">四、投标文件的递交</w:t>
      </w:r>
      <w:bookmarkEnd w:id="264"/>
      <w:r/>
      <w:bookmarkEnd w:id="265"/>
      <w:r/>
      <w:bookmarkEnd w:id="266"/>
      <w:r/>
      <w:bookmarkEnd w:id="267"/>
      <w:r/>
      <w:bookmarkEnd w:id="268"/>
      <w:r/>
      <w:bookmarkEnd w:id="269"/>
      <w:r/>
      <w:bookmarkEnd w:id="270"/>
      <w:r/>
      <w:bookmarkEnd w:id="271"/>
      <w:r/>
      <w:bookmarkEnd w:id="272"/>
      <w:r/>
      <w:r/>
    </w:p>
    <w:p>
      <w:pPr>
        <w:ind w:firstLine="420"/>
        <w:keepLines/>
        <w:keepNext/>
        <w:spacing w:line="500" w:lineRule="exact"/>
        <w:rPr>
          <w:rFonts w:hint="eastAsia" w:cs="Arial"/>
          <w:sz w:val="28"/>
          <w:szCs w:val="28"/>
        </w:rPr>
        <w:outlineLvl w:val="3"/>
      </w:pPr>
      <w:r/>
      <w:bookmarkStart w:id="273" w:name="_Toc462564084"/>
      <w:r/>
      <w:bookmarkStart w:id="274" w:name="_Toc513029225"/>
      <w:r/>
      <w:bookmarkStart w:id="275" w:name="_Toc16938541"/>
      <w:r/>
      <w:bookmarkStart w:id="276" w:name="_Toc20823297"/>
      <w:r>
        <w:rPr>
          <w:rFonts w:hint="eastAsia" w:cs="Arial"/>
          <w:sz w:val="28"/>
          <w:szCs w:val="28"/>
        </w:rPr>
        <w:t xml:space="preserve">1</w:t>
      </w:r>
      <w:r>
        <w:rPr>
          <w:rFonts w:cs="Arial"/>
          <w:sz w:val="28"/>
          <w:szCs w:val="28"/>
        </w:rPr>
        <w:t xml:space="preserve">8</w:t>
      </w:r>
      <w:r>
        <w:rPr>
          <w:rFonts w:hint="eastAsia" w:cs="Arial"/>
          <w:sz w:val="28"/>
          <w:szCs w:val="28"/>
        </w:rPr>
        <w:t xml:space="preserve">、电子投标文件</w:t>
      </w:r>
      <w:bookmarkEnd w:id="273"/>
      <w:r/>
      <w:bookmarkEnd w:id="274"/>
      <w:r/>
      <w:bookmarkEnd w:id="275"/>
      <w:r/>
      <w:bookmarkEnd w:id="276"/>
      <w:r>
        <w:rPr>
          <w:rFonts w:hint="eastAsia" w:cs="Arial"/>
          <w:sz w:val="28"/>
          <w:szCs w:val="28"/>
        </w:rPr>
        <w:t xml:space="preserve">的递交</w:t>
      </w:r>
      <w:r/>
    </w:p>
    <w:p>
      <w:pPr>
        <w:ind w:firstLine="480"/>
        <w:spacing w:line="500" w:lineRule="exact"/>
        <w:rPr>
          <w:rFonts w:hint="eastAsia"/>
          <w:bCs/>
          <w:szCs w:val="21"/>
        </w:rPr>
      </w:pPr>
      <w:r>
        <w:rPr>
          <w:rFonts w:hint="eastAsia"/>
          <w:bCs/>
          <w:szCs w:val="21"/>
        </w:rPr>
        <w:t xml:space="preserve">18.1投标人应当按照《操作手册》规定，在投标截止时间前</w:t>
      </w:r>
      <w:r>
        <w:rPr>
          <w:bCs/>
          <w:szCs w:val="21"/>
        </w:rPr>
        <w:t xml:space="preserve">制作</w:t>
      </w:r>
      <w:r>
        <w:rPr>
          <w:rFonts w:hint="eastAsia"/>
          <w:bCs/>
          <w:szCs w:val="21"/>
        </w:rPr>
        <w:t xml:space="preserve">并上传电子投标文件。</w:t>
      </w:r>
      <w:bookmarkStart w:id="277" w:name="_Toc513029226"/>
      <w:r/>
      <w:bookmarkStart w:id="278" w:name="_Toc16938542"/>
      <w:r/>
      <w:bookmarkStart w:id="279" w:name="_Toc20823298"/>
      <w:r/>
      <w:r/>
    </w:p>
    <w:p>
      <w:pPr>
        <w:ind w:firstLine="420"/>
        <w:keepLines/>
        <w:keepNext/>
        <w:spacing w:line="500" w:lineRule="exact"/>
        <w:rPr>
          <w:rFonts w:hint="eastAsia" w:cs="Arial"/>
          <w:bCs/>
          <w:szCs w:val="28"/>
        </w:rPr>
        <w:outlineLvl w:val="3"/>
      </w:pPr>
      <w:r>
        <w:rPr>
          <w:rFonts w:cs="Arial"/>
          <w:bCs/>
          <w:sz w:val="28"/>
          <w:szCs w:val="28"/>
        </w:rPr>
        <w:t xml:space="preserve">19</w:t>
      </w:r>
      <w:r>
        <w:rPr>
          <w:rFonts w:hint="eastAsia" w:cs="Arial"/>
          <w:bCs/>
          <w:sz w:val="28"/>
          <w:szCs w:val="28"/>
        </w:rPr>
        <w:t xml:space="preserve">、投标截止日期</w:t>
      </w:r>
      <w:bookmarkEnd w:id="277"/>
      <w:r/>
      <w:bookmarkEnd w:id="278"/>
      <w:r/>
      <w:bookmarkEnd w:id="279"/>
      <w:r/>
      <w:r/>
    </w:p>
    <w:p>
      <w:pPr>
        <w:ind w:firstLine="480"/>
        <w:spacing w:line="500" w:lineRule="exact"/>
        <w:rPr>
          <w:rFonts w:hint="eastAsia"/>
          <w:bCs/>
          <w:iCs/>
          <w:szCs w:val="21"/>
        </w:rPr>
      </w:pPr>
      <w:r>
        <w:rPr>
          <w:iCs/>
          <w:szCs w:val="21"/>
        </w:rPr>
        <w:t xml:space="preserve">19</w:t>
      </w:r>
      <w:r>
        <w:rPr>
          <w:rFonts w:hint="eastAsia"/>
          <w:iCs/>
          <w:szCs w:val="21"/>
        </w:rPr>
        <w:t xml:space="preserve">.1</w:t>
      </w:r>
      <w:r>
        <w:rPr>
          <w:rFonts w:hint="eastAsia"/>
          <w:bCs/>
          <w:iCs/>
          <w:szCs w:val="21"/>
        </w:rPr>
        <w:t xml:space="preserve"> 投标人上传电子投标文件的时间不得迟于招标公告中规定的投标截止时间。</w:t>
      </w:r>
      <w:r>
        <w:rPr>
          <w:rFonts w:hint="eastAsia"/>
          <w:bCs/>
          <w:szCs w:val="21"/>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500" w:lineRule="exact"/>
        <w:rPr>
          <w:rFonts w:hint="eastAsia"/>
          <w:bCs/>
          <w:szCs w:val="21"/>
        </w:rPr>
      </w:pPr>
      <w:r>
        <w:rPr>
          <w:szCs w:val="21"/>
        </w:rPr>
        <w:t xml:space="preserve">19</w:t>
      </w:r>
      <w:r>
        <w:rPr>
          <w:rFonts w:hint="eastAsia"/>
          <w:szCs w:val="21"/>
        </w:rPr>
        <w:t xml:space="preserve">.2</w:t>
      </w:r>
      <w:r>
        <w:rPr>
          <w:rFonts w:hint="eastAsia"/>
          <w:bCs/>
          <w:szCs w:val="21"/>
        </w:rPr>
        <w:t xml:space="preserve"> </w:t>
      </w:r>
      <w:r>
        <w:rPr>
          <w:rFonts w:hint="eastAsia"/>
          <w:szCs w:val="21"/>
        </w:rPr>
        <w:t xml:space="preserve">代理机构</w:t>
      </w:r>
      <w:r>
        <w:rPr>
          <w:rFonts w:hint="eastAsia"/>
          <w:bCs/>
          <w:szCs w:val="21"/>
        </w:rPr>
        <w:t xml:space="preserve">可以按照规定，通过修改招标文件酌情延长投标截止日期，在此情况下，投标人的所有权利和义务以及投标人受制的截止日期均应以延长后新的截止日期为准。</w:t>
      </w:r>
      <w:r/>
    </w:p>
    <w:p>
      <w:pPr>
        <w:ind w:firstLine="420"/>
        <w:keepLines/>
        <w:keepNext/>
        <w:spacing w:line="500" w:lineRule="exact"/>
        <w:rPr>
          <w:rFonts w:hint="eastAsia" w:cs="Arial"/>
          <w:sz w:val="28"/>
          <w:szCs w:val="28"/>
        </w:rPr>
        <w:outlineLvl w:val="3"/>
      </w:pPr>
      <w:r/>
      <w:bookmarkStart w:id="280" w:name="_Toc513029227"/>
      <w:r/>
      <w:bookmarkStart w:id="281" w:name="_Toc16938543"/>
      <w:r/>
      <w:bookmarkStart w:id="282" w:name="_Toc20823299"/>
      <w:r>
        <w:rPr>
          <w:rFonts w:hint="eastAsia" w:cs="Arial"/>
          <w:sz w:val="28"/>
          <w:szCs w:val="28"/>
        </w:rPr>
        <w:t xml:space="preserve">2</w:t>
      </w:r>
      <w:r>
        <w:rPr>
          <w:rFonts w:cs="Arial"/>
          <w:sz w:val="28"/>
          <w:szCs w:val="28"/>
        </w:rPr>
        <w:t xml:space="preserve">0</w:t>
      </w:r>
      <w:r>
        <w:rPr>
          <w:rFonts w:hint="eastAsia" w:cs="Arial"/>
          <w:sz w:val="28"/>
          <w:szCs w:val="28"/>
        </w:rPr>
        <w:t xml:space="preserve">、投标文件</w:t>
      </w:r>
      <w:bookmarkEnd w:id="280"/>
      <w:r/>
      <w:bookmarkEnd w:id="281"/>
      <w:r/>
      <w:bookmarkEnd w:id="282"/>
      <w:r>
        <w:rPr>
          <w:rFonts w:hint="eastAsia" w:cs="Arial"/>
          <w:sz w:val="28"/>
          <w:szCs w:val="28"/>
        </w:rPr>
        <w:t xml:space="preserve">的拒收</w:t>
      </w:r>
      <w:r/>
    </w:p>
    <w:p>
      <w:pPr>
        <w:ind w:firstLine="480"/>
        <w:spacing w:line="500" w:lineRule="exact"/>
        <w:rPr>
          <w:rFonts w:hint="eastAsia"/>
          <w:bCs/>
          <w:szCs w:val="21"/>
        </w:rPr>
      </w:pPr>
      <w:r>
        <w:rPr>
          <w:rFonts w:hint="eastAsia"/>
          <w:bCs/>
          <w:szCs w:val="21"/>
        </w:rPr>
        <w:t xml:space="preserve">20.1 </w:t>
      </w:r>
      <w:r>
        <w:rPr>
          <w:rFonts w:hint="eastAsia"/>
          <w:szCs w:val="21"/>
        </w:rPr>
        <w:t xml:space="preserve">代理机构</w:t>
      </w:r>
      <w:r>
        <w:rPr>
          <w:rFonts w:hint="eastAsia"/>
          <w:bCs/>
          <w:szCs w:val="21"/>
        </w:rPr>
        <w:t xml:space="preserve">拒绝接收在其规定的投标截止时间后上传的任何投标文件。</w:t>
      </w:r>
      <w:r/>
    </w:p>
    <w:p>
      <w:pPr>
        <w:ind w:firstLine="420"/>
        <w:keepLines/>
        <w:keepNext/>
        <w:spacing w:line="500" w:lineRule="exact"/>
        <w:rPr>
          <w:rFonts w:hint="eastAsia" w:cs="Arial"/>
          <w:sz w:val="28"/>
          <w:szCs w:val="28"/>
        </w:rPr>
        <w:outlineLvl w:val="3"/>
      </w:pPr>
      <w:r/>
      <w:bookmarkStart w:id="283" w:name="_Toc513029228"/>
      <w:r/>
      <w:bookmarkStart w:id="284" w:name="_Toc16938544"/>
      <w:r/>
      <w:bookmarkStart w:id="285" w:name="_Toc20823300"/>
      <w:r>
        <w:rPr>
          <w:rFonts w:hint="eastAsia" w:cs="Arial"/>
          <w:sz w:val="28"/>
          <w:szCs w:val="28"/>
        </w:rPr>
        <w:t xml:space="preserve">2</w:t>
      </w:r>
      <w:r>
        <w:rPr>
          <w:rFonts w:cs="Arial"/>
          <w:sz w:val="28"/>
          <w:szCs w:val="28"/>
        </w:rPr>
        <w:t xml:space="preserve">1</w:t>
      </w:r>
      <w:r>
        <w:rPr>
          <w:rFonts w:hint="eastAsia" w:cs="Arial"/>
          <w:sz w:val="28"/>
          <w:szCs w:val="28"/>
        </w:rPr>
        <w:t xml:space="preserve">、投标文件的撤回和修改</w:t>
      </w:r>
      <w:bookmarkEnd w:id="283"/>
      <w:r/>
      <w:bookmarkEnd w:id="284"/>
      <w:r/>
      <w:bookmarkEnd w:id="285"/>
      <w:r/>
      <w:r/>
    </w:p>
    <w:p>
      <w:pPr>
        <w:ind w:firstLine="480"/>
        <w:spacing w:line="500" w:lineRule="exact"/>
        <w:rPr>
          <w:rFonts w:hint="eastAsia"/>
          <w:szCs w:val="21"/>
        </w:rPr>
      </w:pPr>
      <w:r>
        <w:rPr>
          <w:rFonts w:hint="eastAsia"/>
          <w:szCs w:val="21"/>
        </w:rPr>
        <w:t xml:space="preserve">2</w:t>
      </w:r>
      <w:r>
        <w:rPr>
          <w:szCs w:val="21"/>
        </w:rPr>
        <w:t xml:space="preserve">1</w:t>
      </w:r>
      <w:r>
        <w:rPr>
          <w:rFonts w:hint="eastAsia"/>
          <w:szCs w:val="21"/>
        </w:rPr>
        <w:t xml:space="preserve">.1 投标文件的撤回</w:t>
      </w:r>
      <w:r/>
    </w:p>
    <w:p>
      <w:pPr>
        <w:ind w:firstLine="480"/>
        <w:spacing w:line="500" w:lineRule="exact"/>
        <w:rPr>
          <w:rFonts w:hint="eastAsia"/>
          <w:szCs w:val="21"/>
        </w:rPr>
      </w:pPr>
      <w:r>
        <w:rPr>
          <w:rFonts w:hint="eastAsia"/>
          <w:szCs w:val="21"/>
        </w:rPr>
        <w:t xml:space="preserve">2</w:t>
      </w:r>
      <w:r>
        <w:rPr>
          <w:szCs w:val="21"/>
        </w:rPr>
        <w:t xml:space="preserve">1</w:t>
      </w:r>
      <w:r>
        <w:rPr>
          <w:rFonts w:hint="eastAsia"/>
          <w:szCs w:val="21"/>
        </w:rPr>
        <w:t xml:space="preserve">.1.1 电子投标文件的撤回</w:t>
      </w:r>
      <w:r/>
    </w:p>
    <w:p>
      <w:pPr>
        <w:ind w:firstLine="480"/>
        <w:spacing w:line="500" w:lineRule="exact"/>
        <w:rPr>
          <w:rFonts w:hint="eastAsia"/>
          <w:szCs w:val="21"/>
        </w:rPr>
      </w:pPr>
      <w:r>
        <w:rPr>
          <w:rFonts w:hint="eastAsia"/>
          <w:szCs w:val="21"/>
        </w:rPr>
        <w:t xml:space="preserve">投标人可在投标截止时间前，撤回其电子投标文件，具体操作方法见《操作手册》。</w:t>
      </w:r>
      <w:r/>
    </w:p>
    <w:p>
      <w:pPr>
        <w:ind w:firstLine="480"/>
        <w:spacing w:line="500" w:lineRule="exact"/>
        <w:rPr>
          <w:rFonts w:hint="eastAsia"/>
        </w:rPr>
      </w:pPr>
      <w:r>
        <w:rPr>
          <w:rFonts w:hint="eastAsia"/>
        </w:rPr>
        <w:t xml:space="preserve">2</w:t>
      </w:r>
      <w:r>
        <w:t xml:space="preserve">1</w:t>
      </w:r>
      <w:r>
        <w:rPr>
          <w:rFonts w:hint="eastAsia"/>
        </w:rPr>
        <w:t xml:space="preserve">.1.</w:t>
      </w:r>
      <w:r>
        <w:t xml:space="preserve">2</w:t>
      </w:r>
      <w:r>
        <w:rPr>
          <w:rFonts w:hint="eastAsia"/>
        </w:rPr>
        <w:t xml:space="preserve"> 投标人撤回电子投标文件，则认为其不再参与本项目投标活动。</w:t>
      </w:r>
      <w:r/>
    </w:p>
    <w:p>
      <w:pPr>
        <w:ind w:firstLine="480"/>
        <w:spacing w:line="500" w:lineRule="exact"/>
        <w:rPr>
          <w:rFonts w:hint="eastAsia"/>
        </w:rPr>
      </w:pPr>
      <w:r>
        <w:rPr>
          <w:rFonts w:hint="eastAsia"/>
        </w:rPr>
        <w:t xml:space="preserve">2</w:t>
      </w:r>
      <w:r>
        <w:t xml:space="preserve">1</w:t>
      </w:r>
      <w:r>
        <w:rPr>
          <w:rFonts w:hint="eastAsia"/>
        </w:rPr>
        <w:t xml:space="preserve">.2 投标文件的修改</w:t>
      </w:r>
      <w:r/>
    </w:p>
    <w:p>
      <w:pPr>
        <w:ind w:firstLine="480"/>
        <w:spacing w:line="500" w:lineRule="exact"/>
        <w:rPr>
          <w:rFonts w:hint="eastAsia"/>
          <w:szCs w:val="21"/>
        </w:rPr>
      </w:pPr>
      <w:r>
        <w:rPr>
          <w:rFonts w:hint="eastAsia"/>
          <w:szCs w:val="21"/>
        </w:rPr>
        <w:t xml:space="preserve">21.2.1投标人可在投标截止时间前，对其电子投标文件进行修改，具体操作方法见《操作手册》。</w:t>
      </w:r>
      <w:r/>
    </w:p>
    <w:p>
      <w:pPr>
        <w:ind w:firstLine="480"/>
        <w:spacing w:line="500" w:lineRule="exact"/>
        <w:rPr>
          <w:rFonts w:hint="eastAsia"/>
          <w:bCs/>
          <w:szCs w:val="21"/>
        </w:rPr>
      </w:pPr>
      <w:r>
        <w:rPr>
          <w:rFonts w:hint="eastAsia"/>
          <w:szCs w:val="21"/>
        </w:rPr>
        <w:t xml:space="preserve">2</w:t>
      </w:r>
      <w:r>
        <w:rPr>
          <w:szCs w:val="21"/>
        </w:rPr>
        <w:t xml:space="preserve">1</w:t>
      </w:r>
      <w:r>
        <w:rPr>
          <w:rFonts w:hint="eastAsia"/>
          <w:szCs w:val="21"/>
        </w:rPr>
        <w:t xml:space="preserve">.</w:t>
      </w:r>
      <w:r>
        <w:rPr>
          <w:szCs w:val="21"/>
        </w:rPr>
        <w:t xml:space="preserve">2.2</w:t>
      </w:r>
      <w:r>
        <w:rPr>
          <w:rFonts w:hint="eastAsia"/>
          <w:bCs/>
          <w:szCs w:val="21"/>
        </w:rPr>
        <w:t xml:space="preserve"> 在投标截止时间之后，投标人不得对其电子投标文件作任何修改。</w:t>
      </w:r>
      <w:r/>
    </w:p>
    <w:p>
      <w:pPr>
        <w:ind w:firstLine="480"/>
        <w:spacing w:line="500" w:lineRule="exact"/>
        <w:rPr>
          <w:rFonts w:hint="eastAsia"/>
          <w:bCs/>
          <w:szCs w:val="21"/>
        </w:rPr>
      </w:pPr>
      <w:r>
        <w:rPr>
          <w:rFonts w:hint="eastAsia"/>
          <w:szCs w:val="21"/>
        </w:rPr>
        <w:t xml:space="preserve">2</w:t>
      </w:r>
      <w:r>
        <w:rPr>
          <w:szCs w:val="21"/>
        </w:rPr>
        <w:t xml:space="preserve">1</w:t>
      </w:r>
      <w:r>
        <w:rPr>
          <w:rFonts w:hint="eastAsia"/>
          <w:szCs w:val="21"/>
        </w:rPr>
        <w:t xml:space="preserve">.3</w:t>
      </w:r>
      <w:r>
        <w:rPr>
          <w:rFonts w:hint="eastAsia"/>
          <w:bCs/>
          <w:szCs w:val="21"/>
        </w:rPr>
        <w:t xml:space="preserve"> 在投标截止时间至招标文件中规定的投标有效期满之间的这段时间内，投标人不得撤回其投标。</w:t>
      </w:r>
      <w:r/>
    </w:p>
    <w:p>
      <w:pPr>
        <w:ind w:firstLine="482"/>
        <w:keepLines/>
        <w:keepNext/>
        <w:spacing w:line="500" w:lineRule="exact"/>
        <w:rPr>
          <w:rFonts w:hint="eastAsia"/>
          <w:b/>
          <w:bCs/>
          <w:sz w:val="32"/>
          <w:szCs w:val="32"/>
        </w:rPr>
        <w:outlineLvl w:val="2"/>
      </w:pPr>
      <w:r/>
      <w:bookmarkStart w:id="286" w:name="_Toc513029229"/>
      <w:r/>
      <w:bookmarkStart w:id="287" w:name="_Toc16938545"/>
      <w:r/>
      <w:bookmarkStart w:id="288" w:name="_Toc20823301"/>
      <w:r/>
      <w:bookmarkStart w:id="289" w:name="_Toc120614218"/>
      <w:r/>
      <w:bookmarkStart w:id="290" w:name="_Toc152683029"/>
      <w:r/>
      <w:bookmarkStart w:id="291" w:name="_Toc152683388"/>
      <w:r/>
      <w:bookmarkStart w:id="292" w:name="_Toc152683548"/>
      <w:r/>
      <w:bookmarkStart w:id="293" w:name="_Toc197636561"/>
      <w:r/>
      <w:bookmarkStart w:id="294" w:name="_Toc197636612"/>
      <w:r>
        <w:rPr>
          <w:rFonts w:hint="eastAsia"/>
          <w:b/>
          <w:bCs/>
          <w:sz w:val="32"/>
          <w:szCs w:val="32"/>
        </w:rPr>
        <w:t xml:space="preserve">五、开标与评标</w:t>
      </w:r>
      <w:bookmarkEnd w:id="286"/>
      <w:r/>
      <w:bookmarkEnd w:id="287"/>
      <w:r/>
      <w:bookmarkEnd w:id="288"/>
      <w:r/>
      <w:bookmarkEnd w:id="289"/>
      <w:r/>
      <w:bookmarkEnd w:id="290"/>
      <w:r/>
      <w:bookmarkEnd w:id="291"/>
      <w:r/>
      <w:bookmarkEnd w:id="292"/>
      <w:r/>
      <w:bookmarkEnd w:id="293"/>
      <w:r/>
      <w:bookmarkEnd w:id="294"/>
      <w:r/>
      <w:r/>
    </w:p>
    <w:p>
      <w:pPr>
        <w:ind w:firstLine="420"/>
        <w:keepLines/>
        <w:keepNext/>
        <w:spacing w:line="500" w:lineRule="exact"/>
        <w:rPr>
          <w:rFonts w:hint="eastAsia" w:cs="Arial"/>
          <w:sz w:val="28"/>
          <w:szCs w:val="28"/>
        </w:rPr>
        <w:outlineLvl w:val="3"/>
      </w:pPr>
      <w:r/>
      <w:bookmarkStart w:id="295" w:name="_Toc513029230"/>
      <w:r/>
      <w:bookmarkStart w:id="296" w:name="_Toc16938546"/>
      <w:r/>
      <w:bookmarkStart w:id="297" w:name="_Toc20823302"/>
      <w:r>
        <w:rPr>
          <w:rFonts w:hint="eastAsia" w:cs="Arial"/>
          <w:sz w:val="28"/>
          <w:szCs w:val="28"/>
        </w:rPr>
        <w:t xml:space="preserve">22、开标</w:t>
      </w:r>
      <w:bookmarkEnd w:id="295"/>
      <w:r/>
      <w:bookmarkEnd w:id="296"/>
      <w:r/>
      <w:bookmarkEnd w:id="297"/>
      <w:r/>
      <w:r/>
    </w:p>
    <w:p>
      <w:pPr>
        <w:ind w:firstLine="360"/>
        <w:spacing w:line="500" w:lineRule="exact"/>
        <w:rPr>
          <w:rFonts w:hint="eastAsia"/>
          <w:szCs w:val="21"/>
        </w:rPr>
      </w:pPr>
      <w:r>
        <w:rPr>
          <w:rFonts w:hint="eastAsia"/>
          <w:szCs w:val="21"/>
        </w:rPr>
        <w:t xml:space="preserve">2</w:t>
      </w:r>
      <w:r>
        <w:rPr>
          <w:szCs w:val="21"/>
        </w:rPr>
        <w:t xml:space="preserve">2</w:t>
      </w:r>
      <w:r>
        <w:rPr>
          <w:rFonts w:hint="eastAsia"/>
          <w:szCs w:val="21"/>
        </w:rPr>
        <w:t xml:space="preserve">.1</w:t>
      </w:r>
      <w:r>
        <w:rPr>
          <w:rFonts w:hint="eastAsia"/>
          <w:bCs/>
          <w:szCs w:val="21"/>
        </w:rPr>
        <w:t xml:space="preserve"> </w:t>
      </w:r>
      <w:r>
        <w:rPr>
          <w:rFonts w:hint="eastAsia"/>
          <w:szCs w:val="21"/>
        </w:rPr>
        <w:t xml:space="preserve">代理机构</w:t>
      </w:r>
      <w:r>
        <w:rPr>
          <w:rFonts w:hint="eastAsia"/>
          <w:bCs/>
          <w:szCs w:val="21"/>
        </w:rPr>
        <w:t xml:space="preserve">将在招标公告中规定的时间和地点组织公开开标</w:t>
      </w:r>
      <w:r>
        <w:rPr>
          <w:rFonts w:hint="eastAsia"/>
        </w:rPr>
        <w:t xml:space="preserve">。投标人应当按照《操作手册》规定，</w:t>
      </w:r>
      <w:r>
        <w:t xml:space="preserve">参加开标活动</w:t>
      </w:r>
      <w:r>
        <w:rPr>
          <w:rFonts w:hint="eastAsia"/>
        </w:rPr>
        <w:t xml:space="preserve">和在苏采云系统规定的时间内对投标文件进行解密。</w:t>
      </w:r>
      <w:r/>
    </w:p>
    <w:p>
      <w:pPr>
        <w:ind w:firstLine="480"/>
        <w:spacing w:line="500" w:lineRule="exact"/>
        <w:rPr>
          <w:rFonts w:hint="eastAsia"/>
        </w:rPr>
      </w:pPr>
      <w:r>
        <w:rPr>
          <w:rFonts w:hint="eastAsia"/>
          <w:bCs/>
        </w:rPr>
        <w:t xml:space="preserve">2</w:t>
      </w:r>
      <w:r>
        <w:rPr>
          <w:bCs/>
        </w:rPr>
        <w:t xml:space="preserve">2</w:t>
      </w:r>
      <w:r>
        <w:rPr>
          <w:rFonts w:hint="eastAsia"/>
          <w:bCs/>
        </w:rPr>
        <w:t xml:space="preserve">.2</w:t>
      </w:r>
      <w:r>
        <w:rPr>
          <w:rFonts w:hint="eastAsia"/>
        </w:rPr>
        <w:t xml:space="preserve">开标仪式由</w:t>
      </w:r>
      <w:r>
        <w:rPr>
          <w:rFonts w:hint="eastAsia"/>
          <w:szCs w:val="21"/>
        </w:rPr>
        <w:t xml:space="preserve">代理机构</w:t>
      </w:r>
      <w:r>
        <w:rPr>
          <w:rFonts w:hint="eastAsia"/>
        </w:rPr>
        <w:t xml:space="preserve">组织。苏采云系统将自动对</w:t>
      </w:r>
      <w:r>
        <w:t xml:space="preserve">项目进行开标，</w:t>
      </w:r>
      <w:r>
        <w:rPr>
          <w:rFonts w:hint="eastAsia"/>
        </w:rPr>
        <w:t xml:space="preserve">并宣布各投标人名称和投标价格。</w:t>
      </w:r>
      <w:r/>
    </w:p>
    <w:p>
      <w:pPr>
        <w:ind w:firstLine="480"/>
        <w:spacing w:line="500" w:lineRule="exact"/>
        <w:rPr>
          <w:rFonts w:hint="eastAsia"/>
        </w:rPr>
      </w:pPr>
      <w:r>
        <w:rPr>
          <w:rFonts w:hint="eastAsia"/>
          <w:bCs/>
          <w:szCs w:val="21"/>
        </w:rPr>
        <w:t xml:space="preserve">2</w:t>
      </w:r>
      <w:r>
        <w:rPr>
          <w:bCs/>
          <w:szCs w:val="21"/>
        </w:rPr>
        <w:t xml:space="preserve">2</w:t>
      </w:r>
      <w:r>
        <w:rPr>
          <w:rFonts w:hint="eastAsia"/>
          <w:bCs/>
          <w:szCs w:val="21"/>
        </w:rPr>
        <w:t xml:space="preserve">.3投标人在开标过程中涉及到的投标文件解密、开标结果确认等工作，应按照《操作手册》规定执行。</w:t>
      </w:r>
      <w:r/>
    </w:p>
    <w:p>
      <w:pPr>
        <w:ind w:firstLine="480"/>
        <w:spacing w:line="500" w:lineRule="exact"/>
        <w:rPr>
          <w:rFonts w:hint="eastAsia"/>
        </w:rPr>
      </w:pPr>
      <w:r>
        <w:rPr>
          <w:rFonts w:hint="eastAsia"/>
        </w:rPr>
        <w:t xml:space="preserve">2</w:t>
      </w:r>
      <w:r>
        <w:t xml:space="preserve">2</w:t>
      </w:r>
      <w:r>
        <w:rPr>
          <w:rFonts w:hint="eastAsia"/>
        </w:rPr>
        <w:t xml:space="preserve">.4投标人如果对开标过程和开标记录有疑义，应当根据《操作手册》规定提出，如苏采云系统中《开标记录表》宣布后5分钟内未提出的，视同认可开标结果。</w:t>
      </w:r>
      <w:r/>
    </w:p>
    <w:p>
      <w:pPr>
        <w:ind w:firstLine="420"/>
        <w:keepLines/>
        <w:keepNext/>
        <w:spacing w:line="500" w:lineRule="exact"/>
        <w:rPr>
          <w:rFonts w:hint="eastAsia" w:cs="Arial"/>
          <w:sz w:val="28"/>
          <w:szCs w:val="28"/>
        </w:rPr>
        <w:outlineLvl w:val="3"/>
      </w:pPr>
      <w:r/>
      <w:bookmarkStart w:id="298" w:name="_Toc513029231"/>
      <w:r/>
      <w:bookmarkStart w:id="299" w:name="_Toc16938547"/>
      <w:r/>
      <w:bookmarkStart w:id="300" w:name="_Toc20823303"/>
      <w:r>
        <w:rPr>
          <w:rFonts w:hint="eastAsia" w:cs="Arial"/>
          <w:sz w:val="28"/>
          <w:szCs w:val="28"/>
        </w:rPr>
        <w:t xml:space="preserve">2</w:t>
      </w:r>
      <w:r>
        <w:rPr>
          <w:rFonts w:cs="Arial"/>
          <w:sz w:val="28"/>
          <w:szCs w:val="28"/>
        </w:rPr>
        <w:t xml:space="preserve">3</w:t>
      </w:r>
      <w:r>
        <w:rPr>
          <w:rFonts w:hint="eastAsia" w:cs="Arial"/>
          <w:sz w:val="28"/>
          <w:szCs w:val="28"/>
        </w:rPr>
        <w:t xml:space="preserve">、评标委员会</w:t>
      </w:r>
      <w:r/>
    </w:p>
    <w:p>
      <w:pPr>
        <w:spacing w:line="500" w:lineRule="exact"/>
        <w:rPr>
          <w:rFonts w:hint="eastAsia"/>
          <w:b/>
        </w:rPr>
      </w:pPr>
      <w:r>
        <w:rPr>
          <w:rFonts w:hint="eastAsia"/>
          <w:b/>
        </w:rPr>
        <w:t xml:space="preserve">  </w:t>
      </w:r>
      <w:r>
        <w:rPr>
          <w:rFonts w:hint="eastAsia"/>
        </w:rPr>
        <w:t xml:space="preserve"> 2</w:t>
      </w:r>
      <w:r>
        <w:t xml:space="preserve">3</w:t>
      </w:r>
      <w:r>
        <w:rPr>
          <w:rFonts w:hint="eastAsia"/>
        </w:rPr>
        <w:t xml:space="preserve">.1</w:t>
      </w:r>
      <w:r>
        <w:rPr>
          <w:rFonts w:hint="eastAsia"/>
          <w:b/>
        </w:rPr>
        <w:t xml:space="preserve"> </w:t>
      </w:r>
      <w:r>
        <w:rPr>
          <w:rFonts w:hint="eastAsia"/>
        </w:rPr>
        <w:t xml:space="preserve">开标后，</w:t>
      </w:r>
      <w:r>
        <w:rPr>
          <w:rFonts w:hint="eastAsia"/>
          <w:szCs w:val="21"/>
        </w:rPr>
        <w:t xml:space="preserve">代理机构</w:t>
      </w:r>
      <w:r>
        <w:rPr>
          <w:rFonts w:hint="eastAsia"/>
        </w:rPr>
        <w:t xml:space="preserve">将立即组织评标委员会（以下简称评委会）进行评标。</w:t>
      </w:r>
      <w:r/>
    </w:p>
    <w:p>
      <w:pPr>
        <w:spacing w:line="500" w:lineRule="exact"/>
        <w:rPr>
          <w:rFonts w:hint="eastAsia"/>
        </w:rPr>
      </w:pPr>
      <w:r>
        <w:rPr>
          <w:rFonts w:hint="eastAsia"/>
          <w:b/>
        </w:rPr>
        <w:t xml:space="preserve">  </w:t>
      </w:r>
      <w:r>
        <w:rPr>
          <w:rFonts w:hint="eastAsia"/>
        </w:rPr>
        <w:t xml:space="preserve"> 2</w:t>
      </w:r>
      <w:r>
        <w:t xml:space="preserve">3</w:t>
      </w:r>
      <w:r>
        <w:rPr>
          <w:rFonts w:hint="eastAsia"/>
        </w:rPr>
        <w:t xml:space="preserve">.2 评委会由采购人代表和有关技术、经济等方面的专家组成，且人员构成符合政府采购有关规定。</w:t>
      </w:r>
      <w:r/>
    </w:p>
    <w:p>
      <w:pPr>
        <w:spacing w:line="500" w:lineRule="exact"/>
        <w:rPr>
          <w:rFonts w:hint="eastAsia"/>
        </w:rPr>
      </w:pPr>
      <w:r>
        <w:rPr>
          <w:rFonts w:hint="eastAsia"/>
          <w:b/>
        </w:rPr>
        <w:t xml:space="preserve">  </w:t>
      </w:r>
      <w:r>
        <w:rPr>
          <w:rFonts w:hint="eastAsia"/>
        </w:rPr>
        <w:t xml:space="preserve"> 2</w:t>
      </w:r>
      <w:r>
        <w:t xml:space="preserve">3</w:t>
      </w:r>
      <w:r>
        <w:rPr>
          <w:rFonts w:hint="eastAsia"/>
        </w:rPr>
        <w:t xml:space="preserve">.3评委会独立工作，负责评审所有投标文件并确定中标</w:t>
      </w:r>
      <w:r>
        <w:rPr>
          <w:rFonts w:hint="eastAsia"/>
        </w:rPr>
        <w:t xml:space="preserve">候</w:t>
      </w:r>
      <w:r>
        <w:rPr>
          <w:rFonts w:hint="eastAsia"/>
        </w:rPr>
        <w:t xml:space="preserve">选人。</w:t>
      </w:r>
      <w:r/>
    </w:p>
    <w:p>
      <w:pPr>
        <w:ind w:firstLine="420"/>
        <w:keepLines/>
        <w:keepNext/>
        <w:spacing w:line="500" w:lineRule="exact"/>
        <w:rPr>
          <w:rFonts w:hint="eastAsia" w:cs="Arial"/>
          <w:sz w:val="28"/>
          <w:szCs w:val="28"/>
        </w:rPr>
        <w:outlineLvl w:val="3"/>
      </w:pPr>
      <w:r>
        <w:rPr>
          <w:rFonts w:hint="eastAsia" w:cs="Arial"/>
          <w:sz w:val="28"/>
          <w:szCs w:val="28"/>
        </w:rPr>
        <w:t xml:space="preserve">2</w:t>
      </w:r>
      <w:r>
        <w:rPr>
          <w:rFonts w:cs="Arial"/>
          <w:sz w:val="28"/>
          <w:szCs w:val="28"/>
        </w:rPr>
        <w:t xml:space="preserve">4</w:t>
      </w:r>
      <w:r>
        <w:rPr>
          <w:rFonts w:hint="eastAsia" w:cs="Arial"/>
          <w:sz w:val="28"/>
          <w:szCs w:val="28"/>
        </w:rPr>
        <w:t xml:space="preserve">．评标过程的保密与公正</w:t>
      </w:r>
      <w:bookmarkEnd w:id="298"/>
      <w:bookmarkEnd w:id="299"/>
      <w:bookmarkEnd w:id="300"/>
      <w:r/>
    </w:p>
    <w:p>
      <w:pPr>
        <w:ind w:firstLine="480"/>
        <w:spacing w:line="500" w:lineRule="exact"/>
        <w:rPr>
          <w:rFonts w:hint="eastAsia"/>
          <w:bCs/>
          <w:szCs w:val="21"/>
        </w:rPr>
      </w:pPr>
      <w:r>
        <w:rPr>
          <w:rFonts w:hint="eastAsia"/>
          <w:szCs w:val="21"/>
        </w:rPr>
        <w:t xml:space="preserve">2</w:t>
      </w:r>
      <w:r>
        <w:rPr>
          <w:szCs w:val="21"/>
        </w:rPr>
        <w:t xml:space="preserve">4</w:t>
      </w:r>
      <w:r>
        <w:rPr>
          <w:rFonts w:hint="eastAsia"/>
          <w:szCs w:val="21"/>
        </w:rPr>
        <w:t xml:space="preserve">.1</w:t>
      </w:r>
      <w:r>
        <w:rPr>
          <w:rFonts w:hint="eastAsia"/>
          <w:bCs/>
          <w:szCs w:val="21"/>
        </w:rPr>
        <w:t xml:space="preserve">凡是与审查、澄清、评价和比较投标的有关资料以及授标建议等，采购人、评委、</w:t>
      </w:r>
      <w:r>
        <w:rPr>
          <w:rFonts w:hint="eastAsia"/>
          <w:szCs w:val="21"/>
        </w:rPr>
        <w:t xml:space="preserve">代理机构</w:t>
      </w:r>
      <w:r>
        <w:rPr>
          <w:rFonts w:hint="eastAsia"/>
          <w:bCs/>
          <w:szCs w:val="21"/>
        </w:rPr>
        <w:t xml:space="preserve">均不得向投标人或与评标无关的其他人员透露。</w:t>
      </w:r>
      <w:r/>
    </w:p>
    <w:p>
      <w:pPr>
        <w:ind w:firstLine="480"/>
        <w:spacing w:line="500" w:lineRule="exact"/>
        <w:rPr>
          <w:rFonts w:hint="eastAsia"/>
        </w:rPr>
      </w:pPr>
      <w:r>
        <w:rPr>
          <w:rFonts w:hint="eastAsia"/>
          <w:szCs w:val="21"/>
        </w:rPr>
        <w:t xml:space="preserve">2</w:t>
      </w:r>
      <w:r>
        <w:rPr>
          <w:szCs w:val="21"/>
        </w:rPr>
        <w:t xml:space="preserve">4</w:t>
      </w:r>
      <w:r>
        <w:rPr>
          <w:rFonts w:hint="eastAsia"/>
          <w:szCs w:val="21"/>
        </w:rPr>
        <w:t xml:space="preserve">.2</w:t>
      </w:r>
      <w:r>
        <w:rPr>
          <w:rFonts w:hint="eastAsia"/>
        </w:rPr>
        <w:t xml:space="preserve">在评标过程中，投标人不得以任何行为影响评标过程，否则其投标文件将被作为无效投标文件。</w:t>
      </w:r>
      <w:r/>
    </w:p>
    <w:p>
      <w:pPr>
        <w:ind w:firstLine="480"/>
        <w:spacing w:line="500" w:lineRule="exact"/>
        <w:rPr>
          <w:rFonts w:hint="eastAsia"/>
        </w:rPr>
      </w:pPr>
      <w:r>
        <w:t xml:space="preserve">24</w:t>
      </w:r>
      <w:r>
        <w:rPr>
          <w:rFonts w:hint="eastAsia"/>
        </w:rPr>
        <w:t xml:space="preserve">.</w:t>
      </w:r>
      <w:r>
        <w:t xml:space="preserve">3</w:t>
      </w:r>
      <w:r>
        <w:rPr>
          <w:rFonts w:hint="eastAsia"/>
        </w:rPr>
        <w:t xml:space="preserve"> </w:t>
      </w:r>
      <w:r>
        <w:rPr>
          <w:rFonts w:hint="eastAsia"/>
          <w:szCs w:val="21"/>
        </w:rPr>
        <w:t xml:space="preserve">代理机构</w:t>
      </w:r>
      <w:r>
        <w:rPr>
          <w:rFonts w:hint="eastAsia"/>
        </w:rPr>
        <w:t xml:space="preserve">和评标委员会不向未中标的投标人解释未中标原因，也不公布评标过程中的相关细节。</w:t>
      </w:r>
      <w:r/>
    </w:p>
    <w:p>
      <w:pPr>
        <w:ind w:firstLine="480"/>
        <w:spacing w:line="500" w:lineRule="exact"/>
        <w:rPr>
          <w:rFonts w:hint="eastAsia"/>
        </w:rPr>
      </w:pPr>
      <w:r>
        <w:rPr>
          <w:rFonts w:hint="eastAsia"/>
        </w:rPr>
        <w:t xml:space="preserve">2</w:t>
      </w:r>
      <w:r>
        <w:t xml:space="preserve">4</w:t>
      </w:r>
      <w:r>
        <w:rPr>
          <w:rFonts w:hint="eastAsia"/>
        </w:rPr>
        <w:t xml:space="preserve">.</w:t>
      </w:r>
      <w:r>
        <w:t xml:space="preserve">4</w:t>
      </w:r>
      <w:r>
        <w:rPr>
          <w:rFonts w:hint="eastAsia"/>
        </w:rPr>
        <w:t xml:space="preserve"> 采用综合评分法的项目，未中标的投标人可于中标结果公告期限届满之日起通过苏采云系统查看自己的评审得分及排序情况。</w:t>
      </w:r>
      <w:r/>
    </w:p>
    <w:p>
      <w:pPr>
        <w:ind w:firstLine="420"/>
        <w:keepLines/>
        <w:keepNext/>
        <w:spacing w:line="500" w:lineRule="exact"/>
        <w:rPr>
          <w:rFonts w:hint="eastAsia" w:cs="Arial"/>
          <w:sz w:val="28"/>
          <w:szCs w:val="28"/>
        </w:rPr>
        <w:outlineLvl w:val="3"/>
      </w:pPr>
      <w:r/>
      <w:bookmarkStart w:id="301" w:name="_Toc513029232"/>
      <w:r/>
      <w:bookmarkStart w:id="302" w:name="_Toc16938548"/>
      <w:r/>
      <w:bookmarkStart w:id="303" w:name="_Toc20823304"/>
      <w:r>
        <w:rPr>
          <w:rFonts w:hint="eastAsia" w:cs="Arial"/>
          <w:sz w:val="28"/>
          <w:szCs w:val="28"/>
        </w:rPr>
        <w:t xml:space="preserve">2</w:t>
      </w:r>
      <w:r>
        <w:rPr>
          <w:rFonts w:cs="Arial"/>
          <w:sz w:val="28"/>
          <w:szCs w:val="28"/>
        </w:rPr>
        <w:t xml:space="preserve">5</w:t>
      </w:r>
      <w:r>
        <w:rPr>
          <w:rFonts w:hint="eastAsia" w:cs="Arial"/>
          <w:sz w:val="28"/>
          <w:szCs w:val="28"/>
        </w:rPr>
        <w:t xml:space="preserve">．投标文件的澄清</w:t>
      </w:r>
      <w:bookmarkEnd w:id="301"/>
      <w:r/>
      <w:bookmarkEnd w:id="302"/>
      <w:r/>
      <w:bookmarkEnd w:id="303"/>
      <w:r/>
      <w:r/>
    </w:p>
    <w:p>
      <w:pPr>
        <w:ind w:firstLine="480"/>
        <w:spacing w:line="500" w:lineRule="exact"/>
        <w:rPr>
          <w:rFonts w:hint="eastAsia"/>
        </w:rPr>
      </w:pPr>
      <w:r/>
      <w:bookmarkStart w:id="304" w:name="_Toc513029233"/>
      <w:r/>
      <w:bookmarkStart w:id="305" w:name="_Toc16938549"/>
      <w:r/>
      <w:bookmarkStart w:id="306" w:name="_Toc20823305"/>
      <w:r>
        <w:t xml:space="preserve">25</w:t>
      </w:r>
      <w:r>
        <w:rPr>
          <w:rFonts w:hint="eastAsia"/>
        </w:rPr>
        <w:t xml:space="preserve">.</w:t>
      </w:r>
      <w:r>
        <w:t xml:space="preserve">1</w:t>
      </w:r>
      <w:r>
        <w:rPr>
          <w:rFonts w:hint="eastAsia"/>
        </w:rPr>
        <w:t xml:space="preserve">评标期间，评委会对投标文件中含义不明确、同类问题表述不一致或者有明显文字和计算错误的内容</w:t>
      </w:r>
      <w:r>
        <w:t xml:space="preserve"> </w:t>
      </w:r>
      <w:r>
        <w:rPr>
          <w:rFonts w:hint="eastAsia"/>
        </w:rPr>
        <w:t xml:space="preserve">，有权要求投标人作出必要的澄清、说明或者补正。</w:t>
      </w:r>
      <w:r/>
    </w:p>
    <w:p>
      <w:pPr>
        <w:ind w:firstLine="480"/>
        <w:spacing w:line="500" w:lineRule="exact"/>
        <w:rPr>
          <w:rFonts w:hint="eastAsia"/>
        </w:rPr>
      </w:pPr>
      <w:r>
        <w:rPr>
          <w:rFonts w:hint="eastAsia"/>
        </w:rPr>
        <w:t xml:space="preserve">投标人的澄清、说明或者补正不得超出投标文件的范围或者改变投标文件的实质性内容。</w:t>
      </w:r>
      <w:r/>
    </w:p>
    <w:p>
      <w:pPr>
        <w:ind w:firstLine="480"/>
        <w:spacing w:line="500" w:lineRule="exact"/>
        <w:rPr>
          <w:rFonts w:hint="eastAsia"/>
        </w:rPr>
      </w:pPr>
      <w:r>
        <w:rPr>
          <w:rFonts w:hint="eastAsia"/>
        </w:rPr>
        <w:t xml:space="preserve">评标</w:t>
      </w:r>
      <w:r>
        <w:t xml:space="preserve">委员会并非对每个投标人都做澄清要求</w:t>
      </w:r>
      <w:r>
        <w:rPr>
          <w:rFonts w:hint="eastAsia"/>
        </w:rPr>
        <w:t xml:space="preserve">。</w:t>
      </w:r>
      <w:r/>
    </w:p>
    <w:p>
      <w:pPr>
        <w:ind w:firstLine="480"/>
        <w:spacing w:line="500" w:lineRule="exact"/>
        <w:rPr>
          <w:rFonts w:hint="eastAsia"/>
        </w:rPr>
      </w:pPr>
      <w:r>
        <w:rPr>
          <w:rFonts w:hint="eastAsia"/>
        </w:rPr>
        <w:t xml:space="preserve">2</w:t>
      </w:r>
      <w:r>
        <w:t xml:space="preserve">5</w:t>
      </w:r>
      <w:r>
        <w:rPr>
          <w:rFonts w:hint="eastAsia"/>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500" w:lineRule="exact"/>
        <w:rPr>
          <w:rFonts w:hint="eastAsia"/>
        </w:rPr>
      </w:pPr>
      <w:r>
        <w:rPr>
          <w:rFonts w:hint="eastAsia"/>
        </w:rPr>
        <w:t xml:space="preserve">2</w:t>
      </w:r>
      <w:r>
        <w:t xml:space="preserve">5</w:t>
      </w:r>
      <w:r>
        <w:rPr>
          <w:rFonts w:hint="eastAsia"/>
        </w:rPr>
        <w:t xml:space="preserve">.3 接到评委会澄清、说明和补正要求的投标人如未按规定做出澄清、说明和补正，其风险由投标人自行承担。</w:t>
      </w:r>
      <w:r/>
    </w:p>
    <w:p>
      <w:pPr>
        <w:ind w:firstLine="420"/>
        <w:keepLines/>
        <w:keepNext/>
        <w:spacing w:line="500" w:lineRule="exact"/>
        <w:rPr>
          <w:rFonts w:hint="eastAsia" w:cs="Arial"/>
          <w:sz w:val="28"/>
          <w:szCs w:val="28"/>
        </w:rPr>
        <w:outlineLvl w:val="3"/>
      </w:pPr>
      <w:r>
        <w:rPr>
          <w:rFonts w:hint="eastAsia" w:cs="Arial"/>
          <w:sz w:val="28"/>
          <w:szCs w:val="28"/>
        </w:rPr>
        <w:t xml:space="preserve">2</w:t>
      </w:r>
      <w:r>
        <w:rPr>
          <w:rFonts w:cs="Arial"/>
          <w:sz w:val="28"/>
          <w:szCs w:val="28"/>
        </w:rPr>
        <w:t xml:space="preserve">6</w:t>
      </w:r>
      <w:r>
        <w:rPr>
          <w:rFonts w:hint="eastAsia" w:cs="Arial"/>
          <w:sz w:val="28"/>
          <w:szCs w:val="28"/>
        </w:rPr>
        <w:t xml:space="preserve">、对投标文件的初审</w:t>
      </w:r>
      <w:bookmarkEnd w:id="304"/>
      <w:r/>
      <w:bookmarkEnd w:id="305"/>
      <w:r/>
      <w:bookmarkEnd w:id="306"/>
      <w:r/>
      <w:r/>
    </w:p>
    <w:p>
      <w:pPr>
        <w:ind w:firstLine="480"/>
        <w:spacing w:line="500" w:lineRule="exact"/>
        <w:rPr>
          <w:rFonts w:hint="eastAsia"/>
          <w:bCs/>
          <w:szCs w:val="21"/>
        </w:rPr>
      </w:pPr>
      <w:r>
        <w:rPr>
          <w:rFonts w:hint="eastAsia"/>
          <w:szCs w:val="21"/>
        </w:rPr>
        <w:t xml:space="preserve">2</w:t>
      </w:r>
      <w:r>
        <w:rPr>
          <w:szCs w:val="21"/>
        </w:rPr>
        <w:t xml:space="preserve">6</w:t>
      </w:r>
      <w:r>
        <w:rPr>
          <w:rFonts w:hint="eastAsia"/>
          <w:szCs w:val="21"/>
        </w:rPr>
        <w:t xml:space="preserve">.1</w:t>
      </w:r>
      <w:r>
        <w:rPr>
          <w:rFonts w:hint="eastAsia"/>
          <w:bCs/>
          <w:szCs w:val="21"/>
        </w:rPr>
        <w:t xml:space="preserve">投标文件初审分为资格审查和符合性审查。</w:t>
      </w:r>
      <w:r/>
    </w:p>
    <w:p>
      <w:pPr>
        <w:ind w:firstLine="480"/>
        <w:spacing w:line="500" w:lineRule="exact"/>
        <w:rPr>
          <w:rFonts w:hint="eastAsia"/>
          <w:bCs/>
          <w:szCs w:val="21"/>
        </w:rPr>
      </w:pPr>
      <w:r>
        <w:rPr>
          <w:rFonts w:hint="eastAsia"/>
          <w:bCs/>
          <w:szCs w:val="21"/>
        </w:rPr>
        <w:t xml:space="preserve">2</w:t>
      </w:r>
      <w:r>
        <w:rPr>
          <w:bCs/>
          <w:szCs w:val="21"/>
        </w:rPr>
        <w:t xml:space="preserve">6</w:t>
      </w:r>
      <w:r>
        <w:rPr>
          <w:rFonts w:hint="eastAsia"/>
          <w:bCs/>
          <w:szCs w:val="21"/>
        </w:rPr>
        <w:t xml:space="preserve">.1.1 资格审查：依据法律法规和招标文件的规定，由采购人对投标文件中的资格证明文件进行审查。资格审查的结论，采购人以书面形式向评委会进行反馈。</w:t>
      </w:r>
      <w:r/>
    </w:p>
    <w:p>
      <w:pPr>
        <w:ind w:firstLine="480"/>
        <w:spacing w:line="500" w:lineRule="exact"/>
        <w:rPr>
          <w:rFonts w:hint="eastAsia"/>
          <w:bCs/>
          <w:szCs w:val="21"/>
        </w:rPr>
      </w:pPr>
      <w:r>
        <w:rPr>
          <w:rFonts w:hint="eastAsia"/>
          <w:bCs/>
          <w:szCs w:val="21"/>
        </w:rPr>
        <w:t xml:space="preserve">采购人在进行资格性审查的同时，将在“信用中国”网站（www.creditchina.gov.cn）查询投标人的信用记录，以确定投标人是否具备投标资格,查询结果留存并归档。</w:t>
      </w:r>
      <w:r/>
    </w:p>
    <w:p>
      <w:pPr>
        <w:ind w:firstLine="480"/>
        <w:spacing w:line="500" w:lineRule="exact"/>
        <w:rPr>
          <w:rFonts w:hint="eastAsia"/>
          <w:bCs/>
          <w:szCs w:val="21"/>
        </w:rPr>
      </w:pPr>
      <w:r>
        <w:rPr>
          <w:rFonts w:hint="eastAsia"/>
          <w:bCs/>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500" w:lineRule="exact"/>
        <w:rPr>
          <w:rFonts w:hint="eastAsia"/>
          <w:bCs/>
          <w:szCs w:val="21"/>
        </w:rPr>
      </w:pPr>
      <w:r>
        <w:rPr>
          <w:rFonts w:hint="eastAsia"/>
          <w:bCs/>
          <w:szCs w:val="21"/>
        </w:rPr>
        <w:t xml:space="preserve">2</w:t>
      </w:r>
      <w:r>
        <w:rPr>
          <w:bCs/>
          <w:szCs w:val="21"/>
        </w:rPr>
        <w:t xml:space="preserve">6</w:t>
      </w:r>
      <w:r>
        <w:rPr>
          <w:rFonts w:hint="eastAsia"/>
          <w:bCs/>
          <w:szCs w:val="21"/>
        </w:rPr>
        <w:t xml:space="preserve">.1.2 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hint="eastAsia"/>
          <w:bCs/>
          <w:szCs w:val="21"/>
        </w:rPr>
      </w:pPr>
      <w:r>
        <w:rPr>
          <w:rFonts w:hint="eastAsia"/>
          <w:bCs/>
          <w:szCs w:val="21"/>
        </w:rPr>
        <w:t xml:space="preserve">2</w:t>
      </w:r>
      <w:r>
        <w:rPr>
          <w:bCs/>
          <w:szCs w:val="21"/>
        </w:rPr>
        <w:t xml:space="preserve">6</w:t>
      </w:r>
      <w:r>
        <w:rPr>
          <w:rFonts w:hint="eastAsia"/>
          <w:bCs/>
          <w:szCs w:val="21"/>
        </w:rPr>
        <w:t xml:space="preserve">.1.3 未通过资格审查或符合性审查的投标人，</w:t>
      </w:r>
      <w:r>
        <w:rPr>
          <w:rFonts w:hint="eastAsia"/>
          <w:szCs w:val="21"/>
        </w:rPr>
        <w:t xml:space="preserve">代理机构</w:t>
      </w:r>
      <w:r>
        <w:rPr>
          <w:rFonts w:hint="eastAsia"/>
          <w:bCs/>
          <w:szCs w:val="21"/>
        </w:rPr>
        <w:t xml:space="preserve">将在</w:t>
      </w:r>
      <w:r>
        <w:rPr>
          <w:rFonts w:hint="eastAsia"/>
        </w:rPr>
        <w:t xml:space="preserve">苏采云系统</w:t>
      </w:r>
      <w:r>
        <w:rPr>
          <w:rFonts w:hint="eastAsia"/>
          <w:bCs/>
          <w:szCs w:val="21"/>
        </w:rPr>
        <w:t xml:space="preserve">中告知未通过资格审查或符合性审查的原因，评审结束后，</w:t>
      </w:r>
      <w:r>
        <w:rPr>
          <w:rFonts w:hint="eastAsia"/>
          <w:szCs w:val="21"/>
        </w:rPr>
        <w:t xml:space="preserve">代理机构</w:t>
      </w:r>
      <w:r>
        <w:rPr>
          <w:rFonts w:hint="eastAsia"/>
          <w:bCs/>
          <w:szCs w:val="21"/>
        </w:rPr>
        <w:t xml:space="preserve">将不再告知未通过资格审查或符合性审查的原因。</w:t>
      </w:r>
      <w:r/>
    </w:p>
    <w:p>
      <w:pPr>
        <w:ind w:firstLine="480"/>
        <w:spacing w:line="500" w:lineRule="exact"/>
        <w:rPr>
          <w:rFonts w:hint="eastAsia"/>
        </w:rPr>
      </w:pPr>
      <w:r>
        <w:rPr>
          <w:rFonts w:hint="eastAsia"/>
          <w:szCs w:val="21"/>
        </w:rPr>
        <w:t xml:space="preserve">2</w:t>
      </w:r>
      <w:r>
        <w:rPr>
          <w:szCs w:val="21"/>
        </w:rPr>
        <w:t xml:space="preserve">6</w:t>
      </w:r>
      <w:r>
        <w:rPr>
          <w:rFonts w:hint="eastAsia"/>
          <w:szCs w:val="21"/>
        </w:rPr>
        <w:t xml:space="preserve">.2</w:t>
      </w:r>
      <w:r>
        <w:rPr>
          <w:rFonts w:hint="eastAsia"/>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bCs/>
          <w:szCs w:val="21"/>
        </w:rPr>
      </w:pPr>
      <w:r>
        <w:rPr>
          <w:rFonts w:hint="eastAsia"/>
        </w:rPr>
        <w:t xml:space="preserve">所谓重大偏离或保留是指与招标文件规定的实质性要求存在负偏离，或者在实质上与招标文件不一致，而且限制了合同中买方和</w:t>
      </w:r>
      <w:r>
        <w:rPr>
          <w:rFonts w:hint="eastAsia"/>
          <w:szCs w:val="21"/>
        </w:rPr>
        <w:t xml:space="preserve">代理机构</w:t>
      </w:r>
      <w:r>
        <w:rPr>
          <w:rFonts w:hint="eastAsia"/>
        </w:rPr>
        <w:t xml:space="preserve">的权利或投标人的义务，纠正这些偏离或保留将会对其他实质性响应要求的投标人的竞争地位产生不公正的影响。重大偏离的认定需</w:t>
      </w:r>
      <w:r>
        <w:rPr>
          <w:rFonts w:hint="eastAsia"/>
        </w:rPr>
        <w:t xml:space="preserve">经过评委会以少数服从多数的原则作出结论。</w:t>
      </w:r>
      <w:r>
        <w:rPr>
          <w:rFonts w:hint="eastAsia"/>
          <w:bCs/>
          <w:szCs w:val="21"/>
        </w:rPr>
        <w:t xml:space="preserve">评委决定投标文件的响应性只根据投标文件本身的内容，而不寻求外部的证据。</w:t>
      </w:r>
      <w:r/>
    </w:p>
    <w:p>
      <w:pPr>
        <w:ind w:firstLine="480"/>
        <w:spacing w:line="500" w:lineRule="exact"/>
        <w:rPr>
          <w:rFonts w:hint="eastAsia"/>
          <w:bCs/>
          <w:szCs w:val="21"/>
        </w:rPr>
      </w:pPr>
      <w:r>
        <w:rPr>
          <w:rFonts w:hint="eastAsia"/>
          <w:szCs w:val="21"/>
        </w:rPr>
        <w:t xml:space="preserve">2</w:t>
      </w:r>
      <w:r>
        <w:rPr>
          <w:szCs w:val="21"/>
        </w:rPr>
        <w:t xml:space="preserve">6</w:t>
      </w:r>
      <w:r>
        <w:rPr>
          <w:rFonts w:hint="eastAsia"/>
          <w:szCs w:val="21"/>
        </w:rPr>
        <w:t xml:space="preserve">.3</w:t>
      </w:r>
      <w:r>
        <w:rPr>
          <w:rFonts w:hint="eastAsia"/>
          <w:bCs/>
          <w:szCs w:val="21"/>
        </w:rPr>
        <w:t xml:space="preserve">如果投标文件实质上没有响应招标文件的要求，评委会将予以拒绝，投标人不得通过修改或撤销不合要求的偏离或保留而使其投标成为实质性响应的投标。</w:t>
      </w:r>
      <w:r/>
    </w:p>
    <w:p>
      <w:pPr>
        <w:ind w:firstLine="480"/>
        <w:spacing w:line="500" w:lineRule="exact"/>
        <w:rPr>
          <w:rFonts w:hint="eastAsia"/>
          <w:bCs/>
          <w:szCs w:val="21"/>
        </w:rPr>
      </w:pPr>
      <w:r>
        <w:rPr>
          <w:rFonts w:hint="eastAsia"/>
          <w:szCs w:val="21"/>
        </w:rPr>
        <w:t xml:space="preserve">2</w:t>
      </w:r>
      <w:r>
        <w:rPr>
          <w:szCs w:val="21"/>
        </w:rPr>
        <w:t xml:space="preserve">6</w:t>
      </w:r>
      <w:r>
        <w:rPr>
          <w:rFonts w:hint="eastAsia"/>
          <w:szCs w:val="21"/>
        </w:rPr>
        <w:t xml:space="preserve">.4</w:t>
      </w:r>
      <w:r>
        <w:rPr>
          <w:rFonts w:hint="eastAsia"/>
          <w:bCs/>
          <w:szCs w:val="21"/>
        </w:rPr>
        <w:t xml:space="preserve">评委会将对确定为实质性响应的投标进行进一步审核，看其是否有计算上或累加上的算术错误，修正错误的原则如下：</w:t>
      </w:r>
      <w:r/>
    </w:p>
    <w:p>
      <w:pPr>
        <w:ind w:firstLine="480"/>
        <w:spacing w:line="500" w:lineRule="exact"/>
        <w:rPr>
          <w:rFonts w:hint="eastAsia"/>
          <w:bCs/>
          <w:szCs w:val="21"/>
        </w:rPr>
      </w:pPr>
      <w:r>
        <w:rPr>
          <w:rFonts w:hint="eastAsia"/>
          <w:bCs/>
          <w:szCs w:val="21"/>
        </w:rPr>
        <w:t xml:space="preserve">（1）投标文件中开标一览表内容与投标文件中相应内容不一致的，以开标一览表为准。</w:t>
      </w:r>
      <w:r/>
    </w:p>
    <w:p>
      <w:pPr>
        <w:ind w:firstLine="480"/>
        <w:spacing w:line="500" w:lineRule="exact"/>
        <w:rPr>
          <w:rFonts w:hint="eastAsia"/>
          <w:bCs/>
          <w:szCs w:val="21"/>
        </w:rPr>
      </w:pPr>
      <w:r>
        <w:rPr>
          <w:rFonts w:hint="eastAsia"/>
          <w:bCs/>
          <w:szCs w:val="21"/>
        </w:rPr>
        <w:t xml:space="preserve">（2）大写金额和小写金额不一致的，以大写金额为准。</w:t>
      </w:r>
      <w:r/>
    </w:p>
    <w:p>
      <w:pPr>
        <w:ind w:firstLine="480"/>
        <w:spacing w:line="500" w:lineRule="exact"/>
        <w:rPr>
          <w:rFonts w:hint="eastAsia"/>
          <w:bCs/>
          <w:szCs w:val="21"/>
        </w:rPr>
      </w:pPr>
      <w:r>
        <w:rPr>
          <w:rFonts w:hint="eastAsia"/>
          <w:bCs/>
          <w:szCs w:val="21"/>
        </w:rPr>
        <w:t xml:space="preserve">（3）单价金额小数点或者百分比有明显错位的，以开标一览表的总价为准，并修改单价。</w:t>
      </w:r>
      <w:r/>
    </w:p>
    <w:p>
      <w:pPr>
        <w:ind w:firstLine="480"/>
        <w:spacing w:line="500" w:lineRule="exact"/>
        <w:rPr>
          <w:rFonts w:hint="eastAsia"/>
          <w:bCs/>
          <w:szCs w:val="21"/>
        </w:rPr>
      </w:pPr>
      <w:r>
        <w:rPr>
          <w:rFonts w:hint="eastAsia"/>
          <w:bCs/>
          <w:szCs w:val="21"/>
        </w:rPr>
        <w:t xml:space="preserve">（4）总价金额与按单价汇总金额不一致的，以单价金额计算结果为准。</w:t>
      </w:r>
      <w:r/>
    </w:p>
    <w:p>
      <w:pPr>
        <w:ind w:firstLine="480"/>
        <w:spacing w:line="500" w:lineRule="exact"/>
        <w:rPr>
          <w:rFonts w:hint="eastAsia"/>
          <w:bCs/>
          <w:szCs w:val="21"/>
        </w:rPr>
      </w:pPr>
      <w:r>
        <w:rPr>
          <w:rFonts w:hint="eastAsia"/>
          <w:bCs/>
          <w:szCs w:val="21"/>
        </w:rPr>
        <w:t xml:space="preserve">同时出现两种以上错误的，按照前款规定的顺序修正。</w:t>
      </w:r>
      <w:r/>
    </w:p>
    <w:p>
      <w:pPr>
        <w:ind w:firstLine="480"/>
        <w:spacing w:line="500" w:lineRule="exact"/>
        <w:rPr>
          <w:rFonts w:hint="eastAsia"/>
          <w:bCs/>
          <w:szCs w:val="21"/>
        </w:rPr>
      </w:pPr>
      <w:r>
        <w:rPr>
          <w:rFonts w:hint="eastAsia"/>
          <w:szCs w:val="21"/>
        </w:rPr>
        <w:t xml:space="preserve">2</w:t>
      </w:r>
      <w:r>
        <w:rPr>
          <w:szCs w:val="21"/>
        </w:rPr>
        <w:t xml:space="preserve">6</w:t>
      </w:r>
      <w:r>
        <w:rPr>
          <w:rFonts w:hint="eastAsia"/>
          <w:szCs w:val="21"/>
        </w:rPr>
        <w:t xml:space="preserve">.5</w:t>
      </w:r>
      <w:r>
        <w:rPr>
          <w:rFonts w:hint="eastAsia"/>
          <w:bCs/>
          <w:szCs w:val="21"/>
        </w:rPr>
        <w:t xml:space="preserve">评委会将按上述修正错误的方法调整投标文件中的投标报价，并</w:t>
      </w:r>
      <w:r>
        <w:rPr>
          <w:bCs/>
          <w:szCs w:val="21"/>
        </w:rPr>
        <w:t xml:space="preserve">通过</w:t>
      </w:r>
      <w:r>
        <w:rPr>
          <w:rFonts w:hint="eastAsia"/>
        </w:rPr>
        <w:t xml:space="preserve">苏采云系统</w:t>
      </w:r>
      <w:r>
        <w:rPr>
          <w:rFonts w:hint="eastAsia"/>
          <w:bCs/>
          <w:szCs w:val="21"/>
        </w:rPr>
        <w:t xml:space="preserve">告知</w:t>
      </w:r>
      <w:r>
        <w:rPr>
          <w:bCs/>
          <w:szCs w:val="21"/>
        </w:rPr>
        <w:t xml:space="preserve">投标人，</w:t>
      </w:r>
      <w:r>
        <w:rPr>
          <w:rFonts w:hint="eastAsia"/>
          <w:bCs/>
          <w:szCs w:val="21"/>
        </w:rPr>
        <w:t xml:space="preserve">调整后的价格应对投标人具有约束力。如果投标人不接受修正后的价格，则其投标将被拒绝。</w:t>
      </w:r>
      <w:r/>
    </w:p>
    <w:p>
      <w:pPr>
        <w:ind w:firstLine="480"/>
        <w:spacing w:line="500" w:lineRule="exact"/>
        <w:rPr>
          <w:rFonts w:hint="eastAsia"/>
          <w:szCs w:val="21"/>
        </w:rPr>
      </w:pPr>
      <w:r/>
      <w:bookmarkStart w:id="307" w:name="_Toc513029234"/>
      <w:r/>
      <w:bookmarkStart w:id="308" w:name="_Toc16938550"/>
      <w:r/>
      <w:bookmarkStart w:id="309" w:name="_Toc20823306"/>
      <w:r>
        <w:rPr>
          <w:rFonts w:hint="eastAsia"/>
          <w:szCs w:val="21"/>
        </w:rPr>
        <w:t xml:space="preserve">2</w:t>
      </w:r>
      <w:r>
        <w:rPr>
          <w:szCs w:val="21"/>
        </w:rPr>
        <w:t xml:space="preserve">6</w:t>
      </w:r>
      <w:r>
        <w:rPr>
          <w:rFonts w:hint="eastAsia"/>
          <w:szCs w:val="21"/>
        </w:rPr>
        <w:t xml:space="preserve">.6</w:t>
      </w:r>
      <w:r>
        <w:rPr>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szCs w:val="21"/>
        </w:rPr>
        <w:t xml:space="preserve">按照招标文件规定的方式（招标文件未规定的通过</w:t>
      </w:r>
      <w:r>
        <w:rPr>
          <w:szCs w:val="21"/>
        </w:rPr>
        <w:t xml:space="preserve">随机抽取</w:t>
      </w:r>
      <w:r>
        <w:rPr>
          <w:rFonts w:hint="eastAsia"/>
          <w:szCs w:val="21"/>
        </w:rPr>
        <w:t xml:space="preserve">的</w:t>
      </w:r>
      <w:r>
        <w:rPr>
          <w:szCs w:val="21"/>
        </w:rPr>
        <w:t xml:space="preserve">方式</w:t>
      </w:r>
      <w:r>
        <w:rPr>
          <w:rFonts w:hint="eastAsia"/>
          <w:szCs w:val="21"/>
        </w:rPr>
        <w:t xml:space="preserve">）</w:t>
      </w:r>
      <w:r>
        <w:rPr>
          <w:szCs w:val="21"/>
        </w:rPr>
        <w:t xml:space="preserve">确定一个参加评标的投标人，其他投标无效。</w:t>
      </w:r>
      <w:r/>
    </w:p>
    <w:p>
      <w:pPr>
        <w:ind w:firstLine="480"/>
        <w:spacing w:line="500" w:lineRule="exact"/>
        <w:rPr>
          <w:rFonts w:hint="eastAsia"/>
          <w:szCs w:val="21"/>
        </w:rPr>
      </w:pPr>
      <w:r>
        <w:rPr>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szCs w:val="21"/>
        </w:rPr>
        <w:t xml:space="preserve">根据招标文件规定的方式（招标文件未规定的采取随机抽取的方式）</w:t>
      </w:r>
      <w:r>
        <w:rPr>
          <w:szCs w:val="21"/>
        </w:rPr>
        <w:t xml:space="preserve">确定</w:t>
      </w:r>
      <w:r>
        <w:rPr>
          <w:rFonts w:hint="eastAsia"/>
          <w:szCs w:val="21"/>
        </w:rPr>
        <w:t xml:space="preserve">一个中标候选人</w:t>
      </w:r>
      <w:r>
        <w:rPr>
          <w:szCs w:val="21"/>
        </w:rPr>
        <w:t xml:space="preserve">，其他同品牌投标人不作为中标候选人。</w:t>
      </w:r>
      <w:r/>
    </w:p>
    <w:p>
      <w:pPr>
        <w:ind w:firstLine="420"/>
        <w:spacing w:line="500" w:lineRule="exact"/>
        <w:rPr>
          <w:rFonts w:hint="eastAsia"/>
          <w:szCs w:val="21"/>
        </w:rPr>
      </w:pPr>
      <w:r>
        <w:rPr>
          <w:szCs w:val="21"/>
        </w:rPr>
        <w:t xml:space="preserve">非单一产品采购项目，招标文件中</w:t>
      </w:r>
      <w:r>
        <w:rPr>
          <w:rFonts w:hint="eastAsia"/>
          <w:szCs w:val="21"/>
        </w:rPr>
        <w:t xml:space="preserve">将载明其中的核心产品</w:t>
      </w:r>
      <w:r>
        <w:rPr>
          <w:szCs w:val="21"/>
        </w:rPr>
        <w:t xml:space="preserve">。多家投标人提供的核心产品品牌相同的，按前两款规定处理。</w:t>
      </w:r>
      <w:r/>
    </w:p>
    <w:p>
      <w:pPr>
        <w:ind w:firstLine="420"/>
        <w:spacing w:line="500" w:lineRule="exact"/>
        <w:rPr>
          <w:rFonts w:hint="eastAsia"/>
          <w:szCs w:val="21"/>
        </w:rPr>
      </w:pPr>
      <w:r>
        <w:rPr>
          <w:rFonts w:hint="eastAsia"/>
          <w:szCs w:val="21"/>
        </w:rPr>
        <w:t xml:space="preserve">2</w:t>
      </w:r>
      <w:r>
        <w:rPr>
          <w:szCs w:val="21"/>
        </w:rPr>
        <w:t xml:space="preserve">6</w:t>
      </w:r>
      <w:r>
        <w:rPr>
          <w:rFonts w:hint="eastAsia"/>
          <w:szCs w:val="21"/>
        </w:rPr>
        <w:t xml:space="preserve">.7投标人在开、评标全过程中应保持通讯畅通，及时登录</w:t>
      </w:r>
      <w:r>
        <w:rPr>
          <w:rFonts w:hint="eastAsia"/>
        </w:rPr>
        <w:t xml:space="preserve">苏采云系统</w:t>
      </w:r>
      <w:r>
        <w:rPr>
          <w:rFonts w:hint="eastAsia"/>
          <w:szCs w:val="21"/>
        </w:rPr>
        <w:t xml:space="preserve">查阅</w:t>
      </w:r>
      <w:r>
        <w:rPr>
          <w:szCs w:val="21"/>
        </w:rPr>
        <w:t xml:space="preserve">、答复相关</w:t>
      </w:r>
      <w:r>
        <w:rPr>
          <w:rFonts w:hint="eastAsia"/>
          <w:szCs w:val="21"/>
        </w:rPr>
        <w:t xml:space="preserve">信息</w:t>
      </w:r>
      <w:r>
        <w:rPr>
          <w:szCs w:val="21"/>
        </w:rPr>
        <w:t xml:space="preserve">，</w:t>
      </w:r>
      <w:r>
        <w:rPr>
          <w:rFonts w:hint="eastAsia"/>
          <w:szCs w:val="21"/>
        </w:rPr>
        <w:t xml:space="preserve">并安排专人与</w:t>
      </w:r>
      <w:r>
        <w:rPr>
          <w:rFonts w:hint="eastAsia"/>
          <w:szCs w:val="21"/>
        </w:rPr>
        <w:t xml:space="preserve">代理机构</w:t>
      </w:r>
      <w:r>
        <w:rPr>
          <w:rFonts w:hint="eastAsia"/>
          <w:szCs w:val="21"/>
        </w:rPr>
        <w:t xml:space="preserve">及评标委员会联系。</w:t>
      </w:r>
      <w:r/>
    </w:p>
    <w:p>
      <w:pPr>
        <w:ind w:firstLine="420"/>
        <w:keepLines/>
        <w:keepNext/>
        <w:spacing w:line="500" w:lineRule="exact"/>
        <w:rPr>
          <w:rFonts w:hint="eastAsia" w:cs="Arial"/>
          <w:sz w:val="28"/>
          <w:szCs w:val="28"/>
        </w:rPr>
        <w:outlineLvl w:val="3"/>
      </w:pPr>
      <w:r>
        <w:rPr>
          <w:rFonts w:hint="eastAsia" w:cs="Arial"/>
          <w:sz w:val="28"/>
          <w:szCs w:val="28"/>
        </w:rPr>
        <w:t xml:space="preserve">2</w:t>
      </w:r>
      <w:r>
        <w:rPr>
          <w:rFonts w:cs="Arial"/>
          <w:sz w:val="28"/>
          <w:szCs w:val="28"/>
        </w:rPr>
        <w:t xml:space="preserve">7</w:t>
      </w:r>
      <w:r>
        <w:rPr>
          <w:rFonts w:hint="eastAsia" w:cs="Arial"/>
          <w:sz w:val="28"/>
          <w:szCs w:val="28"/>
        </w:rPr>
        <w:t xml:space="preserve">、</w:t>
      </w:r>
      <w:bookmarkEnd w:id="307"/>
      <w:r/>
      <w:bookmarkEnd w:id="308"/>
      <w:r/>
      <w:bookmarkEnd w:id="309"/>
      <w:r>
        <w:rPr>
          <w:rFonts w:hint="eastAsia" w:cs="Arial"/>
          <w:sz w:val="28"/>
          <w:szCs w:val="28"/>
        </w:rPr>
        <w:t xml:space="preserve">无效投标条款和废标条款</w:t>
      </w:r>
      <w:r/>
    </w:p>
    <w:p>
      <w:pPr>
        <w:ind w:firstLine="480"/>
        <w:spacing w:line="500" w:lineRule="exact"/>
        <w:rPr>
          <w:rFonts w:hint="eastAsia"/>
          <w:bCs/>
          <w:szCs w:val="21"/>
        </w:rPr>
      </w:pPr>
      <w:r/>
      <w:bookmarkStart w:id="310" w:name="_Toc513029235"/>
      <w:r/>
      <w:bookmarkStart w:id="311" w:name="_Toc16938551"/>
      <w:r/>
      <w:bookmarkStart w:id="312" w:name="_Toc20823307"/>
      <w:r>
        <w:rPr>
          <w:rFonts w:hint="eastAsia"/>
          <w:bCs/>
          <w:szCs w:val="21"/>
        </w:rPr>
        <w:t xml:space="preserve">2</w:t>
      </w:r>
      <w:r>
        <w:rPr>
          <w:bCs/>
          <w:szCs w:val="21"/>
        </w:rPr>
        <w:t xml:space="preserve">7</w:t>
      </w:r>
      <w:r>
        <w:rPr>
          <w:rFonts w:hint="eastAsia"/>
          <w:bCs/>
          <w:szCs w:val="21"/>
        </w:rPr>
        <w:t xml:space="preserve">.1无效投标条款</w:t>
      </w:r>
      <w:r/>
    </w:p>
    <w:p>
      <w:pPr>
        <w:ind w:firstLine="480"/>
        <w:spacing w:line="500" w:lineRule="exact"/>
        <w:rPr>
          <w:rFonts w:hint="eastAsia"/>
          <w:bCs/>
          <w:szCs w:val="21"/>
        </w:rPr>
      </w:pPr>
      <w:r>
        <w:rPr>
          <w:rFonts w:hint="eastAsia"/>
          <w:bCs/>
          <w:szCs w:val="21"/>
        </w:rPr>
        <w:t xml:space="preserve">2</w:t>
      </w:r>
      <w:r>
        <w:rPr>
          <w:bCs/>
          <w:szCs w:val="21"/>
        </w:rPr>
        <w:t xml:space="preserve">7</w:t>
      </w:r>
      <w:r>
        <w:rPr>
          <w:rFonts w:hint="eastAsia"/>
          <w:bCs/>
          <w:szCs w:val="21"/>
        </w:rPr>
        <w:t xml:space="preserve">.1.1 投标人在</w:t>
      </w:r>
      <w:r>
        <w:rPr>
          <w:rFonts w:hint="eastAsia"/>
        </w:rPr>
        <w:t xml:space="preserve">苏采云系统</w:t>
      </w:r>
      <w:r>
        <w:rPr>
          <w:rFonts w:hint="eastAsia"/>
          <w:bCs/>
          <w:szCs w:val="21"/>
        </w:rPr>
        <w:t xml:space="preserve">规定的时间内未成功解密电子投标文件的。</w:t>
      </w:r>
      <w:r/>
    </w:p>
    <w:p>
      <w:pPr>
        <w:ind w:firstLine="480"/>
        <w:spacing w:line="500" w:lineRule="exact"/>
        <w:rPr>
          <w:rFonts w:hint="eastAsia"/>
          <w:bCs/>
          <w:szCs w:val="21"/>
        </w:rPr>
      </w:pPr>
      <w:r>
        <w:rPr>
          <w:rFonts w:hint="eastAsia"/>
          <w:bCs/>
          <w:szCs w:val="21"/>
        </w:rPr>
        <w:t xml:space="preserve">2</w:t>
      </w:r>
      <w:r>
        <w:rPr>
          <w:bCs/>
          <w:szCs w:val="21"/>
        </w:rPr>
        <w:t xml:space="preserve">7</w:t>
      </w:r>
      <w:r>
        <w:rPr>
          <w:rFonts w:hint="eastAsia"/>
          <w:bCs/>
          <w:szCs w:val="21"/>
        </w:rPr>
        <w:t xml:space="preserve">.1.</w:t>
      </w:r>
      <w:r>
        <w:rPr>
          <w:bCs/>
          <w:szCs w:val="21"/>
        </w:rPr>
        <w:t xml:space="preserve">2</w:t>
      </w:r>
      <w:r>
        <w:rPr>
          <w:rFonts w:hint="eastAsia"/>
          <w:bCs/>
          <w:szCs w:val="21"/>
        </w:rPr>
        <w:t xml:space="preserve"> 投标人未按照招标文件要求上传电子投标文件的。</w:t>
      </w:r>
      <w:r/>
    </w:p>
    <w:p>
      <w:pPr>
        <w:ind w:firstLine="480"/>
        <w:spacing w:line="500" w:lineRule="exact"/>
        <w:rPr>
          <w:rFonts w:hint="eastAsia"/>
          <w:bCs/>
          <w:szCs w:val="21"/>
        </w:rPr>
      </w:pPr>
      <w:r>
        <w:rPr>
          <w:rFonts w:hint="eastAsia"/>
          <w:bCs/>
          <w:szCs w:val="21"/>
        </w:rPr>
        <w:t xml:space="preserve">2</w:t>
      </w:r>
      <w:r>
        <w:rPr>
          <w:bCs/>
          <w:szCs w:val="21"/>
        </w:rPr>
        <w:t xml:space="preserve">7</w:t>
      </w:r>
      <w:r>
        <w:rPr>
          <w:rFonts w:hint="eastAsia"/>
          <w:bCs/>
          <w:szCs w:val="21"/>
        </w:rPr>
        <w:t xml:space="preserve">.1.</w:t>
      </w:r>
      <w:r>
        <w:rPr>
          <w:bCs/>
          <w:szCs w:val="21"/>
        </w:rPr>
        <w:t xml:space="preserve">3</w:t>
      </w:r>
      <w:r>
        <w:rPr>
          <w:rFonts w:hint="eastAsia"/>
          <w:bCs/>
          <w:szCs w:val="21"/>
        </w:rPr>
        <w:t xml:space="preserve">同一投标人提交两个</w:t>
      </w:r>
      <w:r>
        <w:rPr>
          <w:bCs/>
          <w:szCs w:val="21"/>
        </w:rPr>
        <w:t xml:space="preserve">（</w:t>
      </w:r>
      <w:r>
        <w:rPr>
          <w:rFonts w:hint="eastAsia"/>
          <w:bCs/>
          <w:szCs w:val="21"/>
        </w:rPr>
        <w:t xml:space="preserve">含</w:t>
      </w:r>
      <w:r>
        <w:rPr>
          <w:bCs/>
          <w:szCs w:val="21"/>
        </w:rPr>
        <w:t xml:space="preserve">两个）</w:t>
      </w:r>
      <w:r>
        <w:rPr>
          <w:rFonts w:hint="eastAsia"/>
          <w:bCs/>
          <w:szCs w:val="21"/>
        </w:rPr>
        <w:t xml:space="preserve">以上不同的</w:t>
      </w:r>
      <w:r>
        <w:rPr>
          <w:bCs/>
          <w:szCs w:val="21"/>
        </w:rPr>
        <w:t xml:space="preserve">投标报价的。</w:t>
      </w:r>
      <w:r/>
    </w:p>
    <w:p>
      <w:pPr>
        <w:ind w:firstLine="480"/>
        <w:spacing w:line="500" w:lineRule="exact"/>
        <w:rPr>
          <w:rFonts w:hint="eastAsia"/>
          <w:bCs/>
          <w:szCs w:val="21"/>
        </w:rPr>
      </w:pPr>
      <w:r>
        <w:rPr>
          <w:rFonts w:hint="eastAsia"/>
          <w:bCs/>
          <w:szCs w:val="21"/>
        </w:rPr>
        <w:t xml:space="preserve">2</w:t>
      </w:r>
      <w:r>
        <w:rPr>
          <w:bCs/>
          <w:szCs w:val="21"/>
        </w:rPr>
        <w:t xml:space="preserve">7</w:t>
      </w:r>
      <w:r>
        <w:rPr>
          <w:rFonts w:hint="eastAsia"/>
          <w:bCs/>
          <w:szCs w:val="21"/>
        </w:rPr>
        <w:t xml:space="preserve">.1.</w:t>
      </w:r>
      <w:r>
        <w:rPr>
          <w:bCs/>
          <w:szCs w:val="21"/>
        </w:rPr>
        <w:t xml:space="preserve">4</w:t>
      </w:r>
      <w:r>
        <w:rPr>
          <w:rFonts w:hint="eastAsia"/>
          <w:bCs/>
          <w:szCs w:val="21"/>
        </w:rPr>
        <w:t xml:space="preserve">投标人不具备招标文件中规定资格要求的。</w:t>
      </w:r>
      <w:r/>
    </w:p>
    <w:p>
      <w:pPr>
        <w:ind w:firstLine="480"/>
        <w:spacing w:line="500" w:lineRule="exact"/>
        <w:rPr>
          <w:rFonts w:hint="eastAsia"/>
          <w:bCs/>
          <w:szCs w:val="21"/>
        </w:rPr>
      </w:pPr>
      <w:r>
        <w:rPr>
          <w:rFonts w:hint="eastAsia"/>
          <w:bCs/>
          <w:szCs w:val="21"/>
        </w:rPr>
        <w:t xml:space="preserve">2</w:t>
      </w:r>
      <w:r>
        <w:rPr>
          <w:bCs/>
          <w:szCs w:val="21"/>
        </w:rPr>
        <w:t xml:space="preserve">7</w:t>
      </w:r>
      <w:r>
        <w:rPr>
          <w:rFonts w:hint="eastAsia"/>
          <w:bCs/>
          <w:szCs w:val="21"/>
        </w:rPr>
        <w:t xml:space="preserve">.1.</w:t>
      </w:r>
      <w:r>
        <w:rPr>
          <w:bCs/>
          <w:szCs w:val="21"/>
        </w:rPr>
        <w:t xml:space="preserve">5</w:t>
      </w:r>
      <w:r>
        <w:rPr>
          <w:rFonts w:hint="eastAsia"/>
          <w:bCs/>
          <w:szCs w:val="21"/>
        </w:rPr>
        <w:t xml:space="preserve">投标人的报价超过了采购预算或最高限价的。</w:t>
      </w:r>
      <w:r/>
    </w:p>
    <w:p>
      <w:pPr>
        <w:ind w:firstLine="480"/>
        <w:spacing w:line="500" w:lineRule="exact"/>
        <w:rPr>
          <w:rFonts w:hint="eastAsia"/>
          <w:bCs/>
          <w:i/>
          <w:szCs w:val="21"/>
          <w:u w:val="single"/>
        </w:rPr>
      </w:pPr>
      <w:r>
        <w:rPr>
          <w:rFonts w:hint="eastAsia"/>
          <w:bCs/>
          <w:szCs w:val="21"/>
        </w:rPr>
        <w:t xml:space="preserve">2</w:t>
      </w:r>
      <w:r>
        <w:rPr>
          <w:bCs/>
          <w:szCs w:val="21"/>
        </w:rPr>
        <w:t xml:space="preserve">7</w:t>
      </w:r>
      <w:r>
        <w:rPr>
          <w:rFonts w:hint="eastAsia"/>
          <w:bCs/>
          <w:szCs w:val="21"/>
        </w:rPr>
        <w:t xml:space="preserve">.1.</w:t>
      </w:r>
      <w:r>
        <w:rPr>
          <w:bCs/>
          <w:szCs w:val="21"/>
        </w:rPr>
        <w:t xml:space="preserve">6</w:t>
      </w:r>
      <w:r>
        <w:rPr>
          <w:rFonts w:hint="eastAsia"/>
          <w:bCs/>
          <w:szCs w:val="21"/>
        </w:rPr>
        <w:t xml:space="preserve">未通过符合性审查的。</w:t>
      </w:r>
      <w:r/>
    </w:p>
    <w:p>
      <w:pPr>
        <w:ind w:firstLine="360"/>
        <w:spacing w:line="500" w:lineRule="exact"/>
        <w:rPr>
          <w:rFonts w:hint="eastAsia"/>
          <w:bCs/>
          <w:iCs/>
          <w:szCs w:val="21"/>
          <w:u w:val="single"/>
        </w:rPr>
      </w:pPr>
      <w:r>
        <w:rPr>
          <w:rFonts w:hint="eastAsia"/>
          <w:bCs/>
          <w:szCs w:val="21"/>
        </w:rPr>
        <w:t xml:space="preserve"> 2</w:t>
      </w:r>
      <w:r>
        <w:rPr>
          <w:bCs/>
          <w:szCs w:val="21"/>
        </w:rPr>
        <w:t xml:space="preserve">7</w:t>
      </w:r>
      <w:r>
        <w:rPr>
          <w:rFonts w:hint="eastAsia"/>
          <w:bCs/>
          <w:szCs w:val="21"/>
        </w:rPr>
        <w:t xml:space="preserve">.1.</w:t>
      </w:r>
      <w:r>
        <w:rPr>
          <w:bCs/>
          <w:szCs w:val="21"/>
        </w:rPr>
        <w:t xml:space="preserve">7</w:t>
      </w:r>
      <w:r>
        <w:rPr>
          <w:rFonts w:hint="eastAsia"/>
          <w:bCs/>
          <w:szCs w:val="21"/>
        </w:rPr>
        <w:t xml:space="preserve">不符合招标文件中规定的实质性要求和条件的</w:t>
      </w:r>
      <w:r/>
    </w:p>
    <w:p>
      <w:pPr>
        <w:ind w:firstLine="480"/>
        <w:spacing w:line="500" w:lineRule="exact"/>
        <w:rPr>
          <w:rFonts w:hint="eastAsia"/>
          <w:bCs/>
          <w:szCs w:val="21"/>
        </w:rPr>
      </w:pPr>
      <w:r>
        <w:rPr>
          <w:rFonts w:hint="eastAsia"/>
          <w:bCs/>
          <w:szCs w:val="21"/>
        </w:rPr>
        <w:t xml:space="preserve">2</w:t>
      </w:r>
      <w:r>
        <w:rPr>
          <w:bCs/>
          <w:szCs w:val="21"/>
        </w:rPr>
        <w:t xml:space="preserve">7</w:t>
      </w:r>
      <w:r>
        <w:rPr>
          <w:rFonts w:hint="eastAsia"/>
          <w:bCs/>
          <w:szCs w:val="21"/>
        </w:rPr>
        <w:t xml:space="preserve">.1.</w:t>
      </w:r>
      <w:r>
        <w:rPr>
          <w:bCs/>
          <w:szCs w:val="21"/>
        </w:rPr>
        <w:t xml:space="preserve">8</w:t>
      </w:r>
      <w:r>
        <w:rPr>
          <w:rFonts w:hint="eastAsia"/>
          <w:bCs/>
          <w:szCs w:val="21"/>
        </w:rPr>
        <w:t xml:space="preserve"> 投标人被 “信用中国”网站（www.creditchina.gov.cn）列入失信被执行人或</w:t>
      </w:r>
      <w:r>
        <w:rPr>
          <w:rFonts w:hint="eastAsia"/>
          <w:bCs/>
          <w:szCs w:val="21"/>
        </w:rPr>
        <w:t xml:space="preserve">重大税收违法失信主体名单</w:t>
      </w:r>
      <w:r>
        <w:rPr>
          <w:rFonts w:hint="eastAsia"/>
          <w:bCs/>
          <w:szCs w:val="21"/>
        </w:rPr>
        <w:t xml:space="preserve">或政府采购严重失信行为记录名单。或查询“信用中国”网站后发现投标人存在其他不符合《中华人民共和国政府采购法》第二十二条规定条件的信用记录。</w:t>
      </w:r>
      <w:r/>
    </w:p>
    <w:p>
      <w:pPr>
        <w:ind w:firstLine="480"/>
        <w:spacing w:line="500" w:lineRule="exact"/>
        <w:rPr>
          <w:rFonts w:hint="eastAsia"/>
          <w:bCs/>
          <w:szCs w:val="21"/>
        </w:rPr>
      </w:pPr>
      <w:r>
        <w:rPr>
          <w:rFonts w:hint="eastAsia"/>
          <w:bCs/>
          <w:szCs w:val="21"/>
        </w:rPr>
        <w:t xml:space="preserve">2</w:t>
      </w:r>
      <w:r>
        <w:rPr>
          <w:bCs/>
          <w:szCs w:val="21"/>
        </w:rPr>
        <w:t xml:space="preserve">7</w:t>
      </w:r>
      <w:r>
        <w:rPr>
          <w:rFonts w:hint="eastAsia"/>
          <w:bCs/>
          <w:szCs w:val="21"/>
        </w:rPr>
        <w:t xml:space="preserve">.1.</w:t>
      </w:r>
      <w:r>
        <w:rPr>
          <w:bCs/>
          <w:szCs w:val="21"/>
        </w:rPr>
        <w:t xml:space="preserve">9</w:t>
      </w:r>
      <w:r>
        <w:rPr>
          <w:rFonts w:hint="eastAsia"/>
          <w:bCs/>
          <w:szCs w:val="21"/>
        </w:rPr>
        <w:t xml:space="preserve">  投标文件含有采购人不能接受的附加条件的。</w:t>
      </w:r>
      <w:r/>
    </w:p>
    <w:p>
      <w:pPr>
        <w:ind w:firstLine="480"/>
        <w:spacing w:line="500" w:lineRule="exact"/>
        <w:rPr>
          <w:rFonts w:hint="eastAsia"/>
          <w:bCs/>
          <w:szCs w:val="21"/>
        </w:rPr>
      </w:pPr>
      <w:r>
        <w:rPr>
          <w:rFonts w:hint="eastAsia"/>
          <w:bCs/>
          <w:szCs w:val="21"/>
        </w:rPr>
        <w:t xml:space="preserve">2</w:t>
      </w:r>
      <w:r>
        <w:rPr>
          <w:bCs/>
          <w:szCs w:val="21"/>
        </w:rPr>
        <w:t xml:space="preserve">7</w:t>
      </w:r>
      <w:r>
        <w:rPr>
          <w:rFonts w:hint="eastAsia"/>
          <w:bCs/>
          <w:szCs w:val="21"/>
        </w:rPr>
        <w:t xml:space="preserve">.1.</w:t>
      </w:r>
      <w:r>
        <w:rPr>
          <w:bCs/>
          <w:szCs w:val="21"/>
        </w:rPr>
        <w:t xml:space="preserve">10</w:t>
      </w:r>
      <w:r>
        <w:rPr>
          <w:rFonts w:hint="eastAsia"/>
          <w:bCs/>
          <w:szCs w:val="21"/>
        </w:rPr>
        <w:t xml:space="preserve">评标委员会认为投标人的报价明显低于其他通过符合性审查投标人的报价，有可能影响产品质量或者不能诚信履约的，将通过</w:t>
      </w:r>
      <w:r>
        <w:rPr>
          <w:rFonts w:hint="eastAsia"/>
        </w:rPr>
        <w:t xml:space="preserve">苏采云系统</w:t>
      </w:r>
      <w:r>
        <w:rPr>
          <w:rFonts w:hint="eastAsia"/>
          <w:bCs/>
          <w:szCs w:val="21"/>
        </w:rPr>
        <w:t xml:space="preserve">要求其在合理的时间内提供说明，必要时提交相关证明材料；投标人不能证明其报价合理性的，评标委员会应当将其作为无效投标处理。</w:t>
      </w:r>
      <w:r/>
    </w:p>
    <w:p>
      <w:pPr>
        <w:ind w:firstLine="480"/>
        <w:spacing w:line="500" w:lineRule="exact"/>
        <w:rPr>
          <w:rFonts w:hint="eastAsia"/>
          <w:bCs/>
          <w:szCs w:val="21"/>
        </w:rPr>
      </w:pPr>
      <w:r>
        <w:rPr>
          <w:rFonts w:hint="eastAsia"/>
          <w:bCs/>
          <w:szCs w:val="21"/>
        </w:rPr>
        <w:t xml:space="preserve">2</w:t>
      </w:r>
      <w:r>
        <w:rPr>
          <w:bCs/>
          <w:szCs w:val="21"/>
        </w:rPr>
        <w:t xml:space="preserve">7</w:t>
      </w:r>
      <w:r>
        <w:rPr>
          <w:rFonts w:hint="eastAsia"/>
          <w:bCs/>
          <w:szCs w:val="21"/>
        </w:rPr>
        <w:t xml:space="preserve">.1.1</w:t>
      </w:r>
      <w:r>
        <w:rPr>
          <w:bCs/>
          <w:szCs w:val="21"/>
        </w:rPr>
        <w:t xml:space="preserve">1</w:t>
      </w:r>
      <w:r>
        <w:rPr>
          <w:rFonts w:hint="eastAsia"/>
          <w:bCs/>
          <w:szCs w:val="21"/>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500" w:lineRule="exact"/>
        <w:rPr>
          <w:rFonts w:hint="eastAsia"/>
          <w:bCs/>
          <w:szCs w:val="21"/>
        </w:rPr>
      </w:pPr>
      <w:r>
        <w:rPr>
          <w:rFonts w:hint="eastAsia"/>
          <w:bCs/>
          <w:szCs w:val="21"/>
        </w:rPr>
        <w:t xml:space="preserve">2</w:t>
      </w:r>
      <w:r>
        <w:rPr>
          <w:bCs/>
          <w:szCs w:val="21"/>
        </w:rPr>
        <w:t xml:space="preserve">7</w:t>
      </w:r>
      <w:r>
        <w:rPr>
          <w:rFonts w:hint="eastAsia"/>
          <w:bCs/>
          <w:szCs w:val="21"/>
        </w:rPr>
        <w:t xml:space="preserve">.1.1</w:t>
      </w:r>
      <w:r>
        <w:rPr>
          <w:bCs/>
          <w:szCs w:val="21"/>
        </w:rPr>
        <w:t xml:space="preserve">2</w:t>
      </w:r>
      <w:r>
        <w:rPr>
          <w:rFonts w:hint="eastAsia"/>
          <w:bCs/>
          <w:szCs w:val="21"/>
        </w:rPr>
        <w:t xml:space="preserve"> 投标文件未按照招标文件要求加盖CA电子公章的。</w:t>
      </w:r>
      <w:r/>
    </w:p>
    <w:p>
      <w:pPr>
        <w:ind w:firstLine="480"/>
        <w:spacing w:line="500" w:lineRule="exact"/>
        <w:rPr>
          <w:rFonts w:hint="eastAsia"/>
          <w:bCs/>
          <w:szCs w:val="21"/>
        </w:rPr>
      </w:pPr>
      <w:r>
        <w:rPr>
          <w:rFonts w:hint="eastAsia"/>
          <w:bCs/>
          <w:szCs w:val="21"/>
        </w:rPr>
        <w:t xml:space="preserve">2</w:t>
      </w:r>
      <w:r>
        <w:rPr>
          <w:bCs/>
          <w:szCs w:val="21"/>
        </w:rPr>
        <w:t xml:space="preserve">7</w:t>
      </w:r>
      <w:r>
        <w:rPr>
          <w:rFonts w:hint="eastAsia"/>
          <w:bCs/>
          <w:szCs w:val="21"/>
        </w:rPr>
        <w:t xml:space="preserve">.1.1</w:t>
      </w:r>
      <w:r>
        <w:rPr>
          <w:bCs/>
          <w:szCs w:val="21"/>
        </w:rPr>
        <w:t xml:space="preserve">3</w:t>
      </w:r>
      <w:r>
        <w:rPr>
          <w:rFonts w:hint="eastAsia"/>
          <w:bCs/>
          <w:szCs w:val="21"/>
        </w:rPr>
        <w:t xml:space="preserve">其他法律、法规及本招标文件规定的属无效投标的情形。</w:t>
      </w:r>
      <w:r/>
    </w:p>
    <w:p>
      <w:pPr>
        <w:ind w:firstLine="480"/>
        <w:spacing w:line="500" w:lineRule="exact"/>
        <w:rPr>
          <w:rFonts w:hint="eastAsia"/>
          <w:bCs/>
          <w:szCs w:val="21"/>
        </w:rPr>
      </w:pPr>
      <w:r>
        <w:rPr>
          <w:rFonts w:hint="eastAsia"/>
          <w:bCs/>
          <w:szCs w:val="21"/>
        </w:rPr>
        <w:t xml:space="preserve">2</w:t>
      </w:r>
      <w:r>
        <w:rPr>
          <w:bCs/>
          <w:szCs w:val="21"/>
        </w:rPr>
        <w:t xml:space="preserve">7</w:t>
      </w:r>
      <w:r>
        <w:rPr>
          <w:rFonts w:hint="eastAsia"/>
          <w:bCs/>
          <w:szCs w:val="21"/>
        </w:rPr>
        <w:t xml:space="preserve">.2废标条款</w:t>
      </w:r>
      <w:r/>
    </w:p>
    <w:p>
      <w:pPr>
        <w:ind w:firstLine="480"/>
        <w:spacing w:line="500" w:lineRule="exact"/>
        <w:rPr>
          <w:rFonts w:hint="eastAsia"/>
          <w:bCs/>
          <w:szCs w:val="21"/>
        </w:rPr>
      </w:pPr>
      <w:r>
        <w:rPr>
          <w:rFonts w:hint="eastAsia"/>
          <w:bCs/>
          <w:szCs w:val="21"/>
        </w:rPr>
        <w:t xml:space="preserve">2</w:t>
      </w:r>
      <w:r>
        <w:rPr>
          <w:bCs/>
          <w:szCs w:val="21"/>
        </w:rPr>
        <w:t xml:space="preserve">7</w:t>
      </w:r>
      <w:r>
        <w:rPr>
          <w:rFonts w:hint="eastAsia"/>
          <w:bCs/>
          <w:szCs w:val="21"/>
        </w:rPr>
        <w:t xml:space="preserve">.2.1符合专业条件的供应商或者对招标文件作实质响应的供应商不足三家的。</w:t>
      </w:r>
      <w:r/>
    </w:p>
    <w:p>
      <w:pPr>
        <w:ind w:firstLine="480"/>
        <w:spacing w:line="500" w:lineRule="exact"/>
        <w:rPr>
          <w:rFonts w:hint="eastAsia"/>
          <w:bCs/>
          <w:szCs w:val="21"/>
        </w:rPr>
      </w:pPr>
      <w:r>
        <w:rPr>
          <w:rFonts w:hint="eastAsia"/>
          <w:bCs/>
          <w:szCs w:val="21"/>
        </w:rPr>
        <w:t xml:space="preserve">2</w:t>
      </w:r>
      <w:r>
        <w:rPr>
          <w:bCs/>
          <w:szCs w:val="21"/>
        </w:rPr>
        <w:t xml:space="preserve">7</w:t>
      </w:r>
      <w:r>
        <w:rPr>
          <w:rFonts w:hint="eastAsia"/>
          <w:bCs/>
          <w:szCs w:val="21"/>
        </w:rPr>
        <w:t xml:space="preserve">.2.2出现影响采购公正的违法、违规行为的。</w:t>
      </w:r>
      <w:r/>
    </w:p>
    <w:p>
      <w:pPr>
        <w:ind w:firstLine="480"/>
        <w:spacing w:line="500" w:lineRule="exact"/>
        <w:rPr>
          <w:rFonts w:hint="eastAsia"/>
          <w:bCs/>
          <w:szCs w:val="21"/>
        </w:rPr>
      </w:pPr>
      <w:r>
        <w:rPr>
          <w:rFonts w:hint="eastAsia"/>
          <w:bCs/>
          <w:szCs w:val="21"/>
        </w:rPr>
        <w:t xml:space="preserve">2</w:t>
      </w:r>
      <w:r>
        <w:rPr>
          <w:bCs/>
          <w:szCs w:val="21"/>
        </w:rPr>
        <w:t xml:space="preserve">7</w:t>
      </w:r>
      <w:r>
        <w:rPr>
          <w:rFonts w:hint="eastAsia"/>
          <w:bCs/>
          <w:szCs w:val="21"/>
        </w:rPr>
        <w:t xml:space="preserve">.2.3因重大变故，采购任务取消的。</w:t>
      </w:r>
      <w:r/>
    </w:p>
    <w:p>
      <w:pPr>
        <w:ind w:firstLine="480"/>
        <w:spacing w:line="500" w:lineRule="exact"/>
        <w:rPr>
          <w:rFonts w:hint="eastAsia"/>
          <w:bCs/>
          <w:szCs w:val="21"/>
        </w:rPr>
      </w:pPr>
      <w:r>
        <w:rPr>
          <w:rFonts w:hint="eastAsia"/>
          <w:bCs/>
          <w:szCs w:val="21"/>
        </w:rPr>
        <w:t xml:space="preserve">2</w:t>
      </w:r>
      <w:r>
        <w:rPr>
          <w:bCs/>
          <w:szCs w:val="21"/>
        </w:rPr>
        <w:t xml:space="preserve">7</w:t>
      </w:r>
      <w:r>
        <w:rPr>
          <w:rFonts w:hint="eastAsia"/>
          <w:bCs/>
          <w:szCs w:val="21"/>
        </w:rPr>
        <w:t xml:space="preserve">.2.4评标委员会认定招标文件存在歧义、重大缺陷导致评审工作无法进行。</w:t>
      </w:r>
      <w:r/>
    </w:p>
    <w:p>
      <w:pPr>
        <w:ind w:firstLine="480"/>
        <w:spacing w:line="500" w:lineRule="exact"/>
        <w:rPr>
          <w:rFonts w:hint="eastAsia"/>
          <w:bCs/>
          <w:szCs w:val="21"/>
        </w:rPr>
      </w:pPr>
      <w:r>
        <w:rPr>
          <w:rFonts w:hint="eastAsia"/>
          <w:bCs/>
          <w:szCs w:val="21"/>
        </w:rPr>
        <w:t xml:space="preserve">2</w:t>
      </w:r>
      <w:r>
        <w:rPr>
          <w:bCs/>
          <w:szCs w:val="21"/>
        </w:rPr>
        <w:t xml:space="preserve">7</w:t>
      </w:r>
      <w:r>
        <w:rPr>
          <w:rFonts w:hint="eastAsia"/>
          <w:bCs/>
          <w:szCs w:val="21"/>
        </w:rPr>
        <w:t xml:space="preserve">.2.5 因</w:t>
      </w:r>
      <w:r>
        <w:rPr>
          <w:rFonts w:hint="eastAsia"/>
        </w:rPr>
        <w:t xml:space="preserve">苏采云系统</w:t>
      </w:r>
      <w:r>
        <w:rPr>
          <w:bCs/>
          <w:szCs w:val="21"/>
        </w:rPr>
        <w:t xml:space="preserve">系统故障原因造成开标不成功</w:t>
      </w:r>
      <w:r>
        <w:rPr>
          <w:rFonts w:hint="eastAsia"/>
          <w:bCs/>
          <w:szCs w:val="21"/>
        </w:rPr>
        <w:t xml:space="preserve">的</w:t>
      </w:r>
      <w:r>
        <w:rPr>
          <w:bCs/>
          <w:szCs w:val="21"/>
        </w:rPr>
        <w:t xml:space="preserve">。</w:t>
      </w:r>
      <w:r/>
    </w:p>
    <w:p>
      <w:pPr>
        <w:ind w:firstLine="480"/>
        <w:spacing w:line="500" w:lineRule="exact"/>
        <w:rPr>
          <w:rFonts w:hint="eastAsia"/>
          <w:bCs/>
          <w:szCs w:val="21"/>
        </w:rPr>
      </w:pPr>
      <w:r>
        <w:rPr>
          <w:rFonts w:hint="eastAsia"/>
          <w:bCs/>
          <w:szCs w:val="21"/>
        </w:rPr>
        <w:t xml:space="preserve">2</w:t>
      </w:r>
      <w:r>
        <w:rPr>
          <w:bCs/>
          <w:szCs w:val="21"/>
        </w:rPr>
        <w:t xml:space="preserve">7</w:t>
      </w:r>
      <w:r>
        <w:rPr>
          <w:rFonts w:hint="eastAsia"/>
          <w:bCs/>
          <w:szCs w:val="21"/>
        </w:rPr>
        <w:t xml:space="preserve">.3 投标截止时间结束后参加投标的供应商不足三家的处理：</w:t>
      </w:r>
      <w:r/>
    </w:p>
    <w:p>
      <w:pPr>
        <w:ind w:firstLine="480"/>
        <w:spacing w:line="500" w:lineRule="exact"/>
        <w:rPr>
          <w:rFonts w:hint="eastAsia"/>
          <w:bCs/>
          <w:szCs w:val="21"/>
        </w:rPr>
      </w:pPr>
      <w:r>
        <w:rPr>
          <w:rFonts w:hint="eastAsia"/>
          <w:bCs/>
          <w:szCs w:val="21"/>
        </w:rPr>
        <w:t xml:space="preserve">2</w:t>
      </w:r>
      <w:r>
        <w:rPr>
          <w:bCs/>
          <w:szCs w:val="21"/>
        </w:rPr>
        <w:t xml:space="preserve">7</w:t>
      </w:r>
      <w:r>
        <w:rPr>
          <w:rFonts w:hint="eastAsia"/>
          <w:bCs/>
          <w:szCs w:val="21"/>
        </w:rPr>
        <w:t xml:space="preserve">.3.1如出现投标截止时间结束后参加投标的供应商或者在评标期间对招标文件做出实质响应的供应商不足三家情况，按政府采购相关规定执行。</w:t>
      </w:r>
      <w:bookmarkStart w:id="313" w:name="_Toc120614219"/>
      <w:r/>
      <w:r/>
    </w:p>
    <w:p>
      <w:pPr>
        <w:spacing w:line="500" w:lineRule="exact"/>
        <w:rPr>
          <w:rFonts w:hint="eastAsia"/>
          <w:bCs/>
          <w:szCs w:val="21"/>
        </w:rPr>
      </w:pPr>
      <w:r>
        <w:rPr>
          <w:rFonts w:hint="eastAsia"/>
          <w:b/>
          <w:bCs/>
          <w:sz w:val="32"/>
          <w:szCs w:val="32"/>
        </w:rPr>
        <w:t xml:space="preserve">六、</w:t>
      </w:r>
      <w:bookmarkEnd w:id="310"/>
      <w:r/>
      <w:bookmarkEnd w:id="311"/>
      <w:r/>
      <w:bookmarkEnd w:id="312"/>
      <w:r>
        <w:rPr>
          <w:rFonts w:hint="eastAsia"/>
          <w:b/>
          <w:bCs/>
          <w:sz w:val="32"/>
          <w:szCs w:val="32"/>
        </w:rPr>
        <w:t xml:space="preserve">定标</w:t>
      </w:r>
      <w:bookmarkStart w:id="314" w:name="_Toc513029238"/>
      <w:r/>
      <w:bookmarkStart w:id="315" w:name="_Toc16938554"/>
      <w:r/>
      <w:bookmarkStart w:id="316" w:name="_Toc20823310"/>
      <w:r/>
      <w:bookmarkEnd w:id="313"/>
      <w:r/>
      <w:r/>
    </w:p>
    <w:p>
      <w:pPr>
        <w:spacing w:line="500" w:lineRule="exact"/>
        <w:rPr>
          <w:rFonts w:hint="eastAsia"/>
          <w:bCs/>
          <w:szCs w:val="21"/>
        </w:rPr>
      </w:pPr>
      <w:r>
        <w:rPr>
          <w:rFonts w:hint="eastAsia"/>
          <w:bCs/>
          <w:sz w:val="30"/>
          <w:szCs w:val="30"/>
        </w:rPr>
        <w:t xml:space="preserve">2</w:t>
      </w:r>
      <w:r>
        <w:rPr>
          <w:bCs/>
          <w:sz w:val="30"/>
          <w:szCs w:val="30"/>
        </w:rPr>
        <w:t xml:space="preserve">8</w:t>
      </w:r>
      <w:r>
        <w:rPr>
          <w:rFonts w:hint="eastAsia"/>
          <w:bCs/>
          <w:sz w:val="30"/>
          <w:szCs w:val="30"/>
        </w:rPr>
        <w:t xml:space="preserve">、</w:t>
      </w:r>
      <w:bookmarkEnd w:id="314"/>
      <w:r>
        <w:rPr>
          <w:rFonts w:hint="eastAsia"/>
          <w:bCs/>
          <w:sz w:val="30"/>
          <w:szCs w:val="30"/>
        </w:rPr>
        <w:t xml:space="preserve">确定</w:t>
      </w:r>
      <w:bookmarkEnd w:id="315"/>
      <w:r/>
      <w:bookmarkEnd w:id="316"/>
      <w:r>
        <w:rPr>
          <w:rFonts w:hint="eastAsia"/>
          <w:bCs/>
          <w:sz w:val="30"/>
          <w:szCs w:val="30"/>
        </w:rPr>
        <w:t xml:space="preserve">中标单位</w:t>
      </w:r>
      <w:r/>
    </w:p>
    <w:p>
      <w:pPr>
        <w:ind w:firstLine="480"/>
        <w:spacing w:line="500" w:lineRule="exact"/>
        <w:rPr>
          <w:rFonts w:hint="eastAsia"/>
          <w:bCs/>
          <w:szCs w:val="21"/>
        </w:rPr>
      </w:pPr>
      <w:r>
        <w:rPr>
          <w:rFonts w:hint="eastAsia"/>
          <w:bCs/>
          <w:szCs w:val="21"/>
        </w:rPr>
        <w:t xml:space="preserve">2</w:t>
      </w:r>
      <w:r>
        <w:rPr>
          <w:bCs/>
          <w:szCs w:val="21"/>
        </w:rPr>
        <w:t xml:space="preserve">8</w:t>
      </w:r>
      <w:r>
        <w:rPr>
          <w:rFonts w:hint="eastAsia"/>
          <w:bCs/>
          <w:szCs w:val="21"/>
        </w:rPr>
        <w:t xml:space="preserve">.1中标候选人的选取原则和数量见招标文件第</w:t>
      </w:r>
      <w:r>
        <w:rPr>
          <w:rFonts w:hint="eastAsia"/>
          <w:bCs/>
          <w:szCs w:val="21"/>
        </w:rPr>
        <w:t xml:space="preserve">四</w:t>
      </w:r>
      <w:r>
        <w:rPr>
          <w:rFonts w:hint="eastAsia"/>
          <w:bCs/>
          <w:szCs w:val="21"/>
        </w:rPr>
        <w:t xml:space="preserve">章规定。 </w:t>
      </w:r>
      <w:r/>
    </w:p>
    <w:p>
      <w:pPr>
        <w:ind w:firstLine="480"/>
        <w:spacing w:line="500" w:lineRule="exact"/>
        <w:rPr>
          <w:rFonts w:hint="eastAsia"/>
          <w:bCs/>
          <w:szCs w:val="21"/>
        </w:rPr>
      </w:pPr>
      <w:r>
        <w:rPr>
          <w:rFonts w:hint="eastAsia"/>
          <w:bCs/>
          <w:szCs w:val="21"/>
        </w:rPr>
        <w:t xml:space="preserve">2</w:t>
      </w:r>
      <w:r>
        <w:rPr>
          <w:bCs/>
          <w:szCs w:val="21"/>
        </w:rPr>
        <w:t xml:space="preserve">8</w:t>
      </w:r>
      <w:r>
        <w:rPr>
          <w:rFonts w:hint="eastAsia"/>
          <w:bCs/>
          <w:szCs w:val="21"/>
        </w:rPr>
        <w:t xml:space="preserve">.2 采购人应根据评委会推荐的中标候选人确定中标人。</w:t>
      </w:r>
      <w:r/>
    </w:p>
    <w:p>
      <w:pPr>
        <w:ind w:firstLine="480"/>
        <w:spacing w:line="500" w:lineRule="exact"/>
        <w:rPr>
          <w:rFonts w:hint="eastAsia"/>
        </w:rPr>
      </w:pPr>
      <w:r>
        <w:rPr>
          <w:rFonts w:hint="eastAsia"/>
          <w:bCs/>
        </w:rPr>
        <w:t xml:space="preserve">2</w:t>
      </w:r>
      <w:r>
        <w:rPr>
          <w:bCs/>
        </w:rPr>
        <w:t xml:space="preserve">8</w:t>
      </w:r>
      <w:r>
        <w:rPr>
          <w:rFonts w:hint="eastAsia"/>
          <w:bCs/>
        </w:rPr>
        <w:t xml:space="preserve">.3 </w:t>
      </w:r>
      <w:r>
        <w:rPr>
          <w:rFonts w:hint="eastAsia"/>
          <w:szCs w:val="21"/>
        </w:rPr>
        <w:t xml:space="preserve">代理机构</w:t>
      </w:r>
      <w:r>
        <w:rPr>
          <w:rFonts w:hint="eastAsia"/>
        </w:rPr>
        <w:t xml:space="preserve">将在</w:t>
      </w:r>
      <w:r>
        <w:rPr>
          <w:rFonts w:hint="eastAsia"/>
          <w:szCs w:val="21"/>
        </w:rPr>
        <w:t xml:space="preserve">“江苏省政府采购网”、</w:t>
      </w:r>
      <w:r>
        <w:rPr>
          <w:rFonts w:hint="eastAsia"/>
        </w:rPr>
        <w:t xml:space="preserve">“</w:t>
      </w:r>
      <w:r>
        <w:rPr>
          <w:rFonts w:hint="eastAsia"/>
        </w:rPr>
        <w:t xml:space="preserve">常州市政府采购网</w:t>
      </w:r>
      <w:r>
        <w:rPr>
          <w:rFonts w:hint="eastAsia"/>
        </w:rPr>
        <w:t xml:space="preserve">”发布中标公告，公告期限为1个工作日。</w:t>
      </w:r>
      <w:r/>
    </w:p>
    <w:p>
      <w:pPr>
        <w:ind w:firstLine="480"/>
        <w:spacing w:line="500" w:lineRule="exact"/>
        <w:rPr>
          <w:rFonts w:hint="eastAsia"/>
        </w:rPr>
      </w:pPr>
      <w:r>
        <w:rPr>
          <w:rFonts w:hint="eastAsia"/>
        </w:rPr>
        <w:t xml:space="preserve">2</w:t>
      </w:r>
      <w:r>
        <w:t xml:space="preserve">8</w:t>
      </w:r>
      <w:r>
        <w:rPr>
          <w:rFonts w:hint="eastAsia"/>
        </w:rPr>
        <w:t xml:space="preserve">.4  若有充分证据证明，中标人出现下列情况之一的，一经查实，将被取消中标资格：</w:t>
      </w:r>
      <w:r/>
    </w:p>
    <w:p>
      <w:pPr>
        <w:ind w:firstLine="480"/>
        <w:spacing w:line="500" w:lineRule="exact"/>
        <w:rPr>
          <w:rFonts w:hint="eastAsia"/>
        </w:rPr>
      </w:pPr>
      <w:r>
        <w:rPr>
          <w:rFonts w:hint="eastAsia"/>
        </w:rPr>
        <w:t xml:space="preserve">2</w:t>
      </w:r>
      <w:r>
        <w:t xml:space="preserve">8</w:t>
      </w:r>
      <w:r>
        <w:rPr>
          <w:rFonts w:hint="eastAsia"/>
        </w:rPr>
        <w:t xml:space="preserve">.4.1提供虚假材料谋取中标的。</w:t>
      </w:r>
      <w:r/>
    </w:p>
    <w:p>
      <w:pPr>
        <w:ind w:firstLine="480"/>
        <w:spacing w:line="500" w:lineRule="exact"/>
        <w:rPr>
          <w:rFonts w:hint="eastAsia"/>
        </w:rPr>
      </w:pPr>
      <w:r>
        <w:rPr>
          <w:rFonts w:hint="eastAsia"/>
        </w:rPr>
        <w:t xml:space="preserve">2</w:t>
      </w:r>
      <w:r>
        <w:t xml:space="preserve">8</w:t>
      </w:r>
      <w:r>
        <w:rPr>
          <w:rFonts w:hint="eastAsia"/>
        </w:rPr>
        <w:t xml:space="preserve">.4.2向采购人、</w:t>
      </w:r>
      <w:r>
        <w:rPr>
          <w:rFonts w:hint="eastAsia"/>
          <w:szCs w:val="21"/>
        </w:rPr>
        <w:t xml:space="preserve">代理机构</w:t>
      </w:r>
      <w:r>
        <w:rPr>
          <w:rFonts w:hint="eastAsia"/>
        </w:rPr>
        <w:t xml:space="preserve">行贿或者提供其他不正当利益的。</w:t>
      </w:r>
      <w:r/>
    </w:p>
    <w:p>
      <w:pPr>
        <w:ind w:firstLine="480"/>
        <w:spacing w:line="500" w:lineRule="exact"/>
        <w:rPr>
          <w:rFonts w:hint="eastAsia"/>
        </w:rPr>
      </w:pPr>
      <w:r>
        <w:rPr>
          <w:rFonts w:hint="eastAsia"/>
        </w:rPr>
        <w:t xml:space="preserve">2</w:t>
      </w:r>
      <w:r>
        <w:t xml:space="preserve">8</w:t>
      </w:r>
      <w:r>
        <w:rPr>
          <w:rFonts w:hint="eastAsia"/>
        </w:rPr>
        <w:t xml:space="preserve">.4.3属于本文件规定的无效条件，但在评标过程中又未被评委会发现的。</w:t>
      </w:r>
      <w:r/>
    </w:p>
    <w:p>
      <w:pPr>
        <w:ind w:firstLine="480"/>
        <w:spacing w:line="500" w:lineRule="exact"/>
        <w:rPr>
          <w:rFonts w:hint="eastAsia"/>
        </w:rPr>
      </w:pPr>
      <w:r>
        <w:rPr>
          <w:rFonts w:hint="eastAsia"/>
        </w:rPr>
        <w:t xml:space="preserve">2</w:t>
      </w:r>
      <w:r>
        <w:t xml:space="preserve">8</w:t>
      </w:r>
      <w:r>
        <w:rPr>
          <w:rFonts w:hint="eastAsia"/>
        </w:rPr>
        <w:t xml:space="preserve">.4.4与采购人或者其他供应商恶意串通的。</w:t>
      </w:r>
      <w:r/>
    </w:p>
    <w:p>
      <w:pPr>
        <w:ind w:firstLine="480"/>
        <w:spacing w:line="500" w:lineRule="exact"/>
        <w:rPr>
          <w:rFonts w:hint="eastAsia"/>
        </w:rPr>
      </w:pPr>
      <w:r>
        <w:rPr>
          <w:rFonts w:hint="eastAsia"/>
        </w:rPr>
        <w:t xml:space="preserve">2</w:t>
      </w:r>
      <w:r>
        <w:t xml:space="preserve">8</w:t>
      </w:r>
      <w:r>
        <w:rPr>
          <w:rFonts w:hint="eastAsia"/>
        </w:rPr>
        <w:t xml:space="preserve">.4.5采取不正当手段诋毁、排挤其他供应商的。</w:t>
      </w:r>
      <w:r/>
    </w:p>
    <w:p>
      <w:pPr>
        <w:ind w:firstLine="480"/>
        <w:spacing w:line="500" w:lineRule="exact"/>
        <w:rPr>
          <w:rFonts w:hint="eastAsia"/>
        </w:rPr>
      </w:pPr>
      <w:r/>
      <w:bookmarkStart w:id="317" w:name="_Toc200451960"/>
      <w:r>
        <w:rPr>
          <w:rFonts w:hint="eastAsia"/>
        </w:rPr>
        <w:t xml:space="preserve">2</w:t>
      </w:r>
      <w:r>
        <w:t xml:space="preserve">8</w:t>
      </w:r>
      <w:r>
        <w:rPr>
          <w:rFonts w:hint="eastAsia"/>
        </w:rPr>
        <w:t xml:space="preserve">.5.</w:t>
      </w:r>
      <w:r>
        <w:rPr>
          <w:rFonts w:hint="eastAsia"/>
          <w:szCs w:val="21"/>
        </w:rPr>
        <w:t xml:space="preserve"> </w:t>
      </w:r>
      <w:r>
        <w:t xml:space="preserve">有下列情形之一的，</w:t>
      </w:r>
      <w:r>
        <w:rPr>
          <w:rFonts w:hint="eastAsia"/>
        </w:rPr>
        <w:t xml:space="preserve">视为投标人</w:t>
      </w:r>
      <w:r>
        <w:t xml:space="preserve">串通</w:t>
      </w:r>
      <w:r>
        <w:rPr>
          <w:rFonts w:hint="eastAsia"/>
        </w:rPr>
        <w:t xml:space="preserve">投标，投标无效：</w:t>
      </w:r>
      <w:r/>
    </w:p>
    <w:p>
      <w:pPr>
        <w:ind w:firstLine="480"/>
        <w:spacing w:line="500" w:lineRule="exact"/>
        <w:rPr>
          <w:rFonts w:hint="eastAsia"/>
        </w:rPr>
      </w:pPr>
      <w:r>
        <w:rPr>
          <w:rFonts w:hint="eastAsia"/>
        </w:rPr>
        <w:t xml:space="preserve">2</w:t>
      </w:r>
      <w:r>
        <w:t xml:space="preserve">8</w:t>
      </w:r>
      <w:r>
        <w:rPr>
          <w:rFonts w:hint="eastAsia"/>
        </w:rPr>
        <w:t xml:space="preserve">.5.1不同投标人的投标文件由同一单位或者个人编制；</w:t>
      </w:r>
      <w:r/>
    </w:p>
    <w:p>
      <w:pPr>
        <w:ind w:firstLine="480"/>
        <w:spacing w:line="500" w:lineRule="exact"/>
        <w:rPr>
          <w:rFonts w:hint="eastAsia"/>
        </w:rPr>
      </w:pPr>
      <w:r>
        <w:rPr>
          <w:rFonts w:hint="eastAsia"/>
        </w:rPr>
        <w:t xml:space="preserve">2</w:t>
      </w:r>
      <w:r>
        <w:t xml:space="preserve">8</w:t>
      </w:r>
      <w:r>
        <w:rPr>
          <w:rFonts w:hint="eastAsia"/>
        </w:rPr>
        <w:t xml:space="preserve">.5.2不同投标人委托同一单位或者个人办理投标事宜；</w:t>
      </w:r>
      <w:r/>
    </w:p>
    <w:p>
      <w:pPr>
        <w:ind w:firstLine="480"/>
        <w:spacing w:line="500" w:lineRule="exact"/>
        <w:rPr>
          <w:rFonts w:hint="eastAsia"/>
        </w:rPr>
      </w:pPr>
      <w:r>
        <w:rPr>
          <w:rFonts w:hint="eastAsia"/>
        </w:rPr>
        <w:t xml:space="preserve">2</w:t>
      </w:r>
      <w:r>
        <w:t xml:space="preserve">8</w:t>
      </w:r>
      <w:r>
        <w:rPr>
          <w:rFonts w:hint="eastAsia"/>
        </w:rPr>
        <w:t xml:space="preserve">.5.3 不同投标人的投标文件载明的项目管理成员或者联系人员为同一人；</w:t>
      </w:r>
      <w:r/>
    </w:p>
    <w:p>
      <w:pPr>
        <w:ind w:firstLine="480"/>
        <w:spacing w:line="500" w:lineRule="exact"/>
        <w:rPr>
          <w:rFonts w:hint="eastAsia"/>
        </w:rPr>
      </w:pPr>
      <w:r>
        <w:rPr>
          <w:rFonts w:hint="eastAsia"/>
        </w:rPr>
        <w:t xml:space="preserve">2</w:t>
      </w:r>
      <w:r>
        <w:t xml:space="preserve">8</w:t>
      </w:r>
      <w:r>
        <w:rPr>
          <w:rFonts w:hint="eastAsia"/>
        </w:rPr>
        <w:t xml:space="preserve">.5.4不同投标人的投标文件异常一致或者投标报价呈规律性差异；</w:t>
      </w:r>
      <w:r/>
    </w:p>
    <w:p>
      <w:pPr>
        <w:ind w:firstLine="600"/>
        <w:keepLines/>
        <w:keepNext/>
        <w:spacing w:line="500" w:lineRule="exact"/>
        <w:rPr>
          <w:rFonts w:hint="eastAsia"/>
          <w:bCs/>
          <w:sz w:val="30"/>
          <w:szCs w:val="30"/>
        </w:rPr>
        <w:outlineLvl w:val="3"/>
      </w:pPr>
      <w:r>
        <w:rPr>
          <w:bCs/>
          <w:sz w:val="30"/>
          <w:szCs w:val="30"/>
        </w:rPr>
        <w:t xml:space="preserve">29</w:t>
      </w:r>
      <w:r>
        <w:rPr>
          <w:rFonts w:hint="eastAsia"/>
          <w:bCs/>
          <w:sz w:val="30"/>
          <w:szCs w:val="30"/>
        </w:rPr>
        <w:t xml:space="preserve">、质疑处理</w:t>
      </w:r>
      <w:bookmarkEnd w:id="317"/>
      <w:r/>
      <w:r/>
    </w:p>
    <w:p>
      <w:pPr>
        <w:ind w:firstLine="480"/>
        <w:spacing w:line="500" w:lineRule="exact"/>
        <w:rPr>
          <w:rFonts w:hint="eastAsia"/>
        </w:rPr>
      </w:pPr>
      <w:r>
        <w:t xml:space="preserve">29</w:t>
      </w:r>
      <w:r>
        <w:rPr>
          <w:rFonts w:hint="eastAsia"/>
        </w:rPr>
        <w:t xml:space="preserve">.1 提出质疑的供应商应当是参与所质疑项目采购活动的供应商。潜在供应商依法获取其可质疑的采购文件的，可以对采购文件提出质疑。</w:t>
      </w:r>
      <w:r/>
    </w:p>
    <w:p>
      <w:pPr>
        <w:ind w:firstLine="480"/>
        <w:spacing w:line="500" w:lineRule="exact"/>
        <w:rPr>
          <w:rFonts w:hint="eastAsia"/>
        </w:rPr>
      </w:pPr>
      <w:r>
        <w:t xml:space="preserve">29</w:t>
      </w:r>
      <w:r>
        <w:rPr>
          <w:rFonts w:hint="eastAsia"/>
        </w:rPr>
        <w:t xml:space="preserve">.2供应商认为采购文件、采购过程和采购结果使自己的权益受到损害的，可以在知道或应知其权益受到损害之日起七个工作日内，以书面形式根据下述29.4条款的规定向</w:t>
      </w:r>
      <w:r>
        <w:rPr>
          <w:rFonts w:hint="eastAsia"/>
          <w:szCs w:val="21"/>
        </w:rPr>
        <w:t xml:space="preserve">代理机构</w:t>
      </w:r>
      <w:r>
        <w:rPr>
          <w:rFonts w:hint="eastAsia"/>
        </w:rPr>
        <w:t xml:space="preserve">或采购人提出质疑。上述应知其权益受到损害之日，是指：</w:t>
      </w:r>
      <w:r/>
    </w:p>
    <w:p>
      <w:pPr>
        <w:ind w:firstLine="480"/>
        <w:spacing w:line="500" w:lineRule="exact"/>
        <w:rPr>
          <w:rFonts w:hint="eastAsia"/>
        </w:rPr>
      </w:pPr>
      <w:r>
        <w:t xml:space="preserve">29</w:t>
      </w:r>
      <w:r>
        <w:rPr>
          <w:rFonts w:hint="eastAsia"/>
        </w:rPr>
        <w:t xml:space="preserve">.2.1</w:t>
      </w:r>
      <w:r>
        <w:t xml:space="preserve">对可以质疑的采购文件提出质疑的，为收到采购文件之日或者采购文件公告期限届满之日；</w:t>
      </w:r>
      <w:r>
        <w:br/>
        <w:t xml:space="preserve">　　29</w:t>
      </w:r>
      <w:r>
        <w:rPr>
          <w:rFonts w:hint="eastAsia"/>
        </w:rPr>
        <w:t xml:space="preserve">.2.2</w:t>
      </w:r>
      <w:r>
        <w:t xml:space="preserve">对采购过程提出质疑的，为各采购程序环节结束之日；</w:t>
      </w:r>
      <w:r>
        <w:br/>
        <w:t xml:space="preserve">　　29</w:t>
      </w:r>
      <w:r>
        <w:rPr>
          <w:rFonts w:hint="eastAsia"/>
        </w:rPr>
        <w:t xml:space="preserve">.2.3</w:t>
      </w:r>
      <w:r>
        <w:t xml:space="preserve">对中标或者成交结果提出质疑的，为中标或者成交结果公告期限届满之日。</w:t>
      </w:r>
      <w:r/>
    </w:p>
    <w:p>
      <w:pPr>
        <w:ind w:firstLine="480"/>
        <w:spacing w:line="500" w:lineRule="exact"/>
        <w:rPr>
          <w:rFonts w:hint="eastAsia"/>
        </w:rPr>
      </w:pPr>
      <w:r>
        <w:rPr>
          <w:rFonts w:hint="eastAsia"/>
        </w:rPr>
        <w:t xml:space="preserve">供应商应当在法定质疑期内一次性提出针对同一采购程序环节的质疑。供应商如在法定期限内对同一采购程序环节提出多次质疑的，</w:t>
      </w:r>
      <w:r>
        <w:rPr>
          <w:rFonts w:hint="eastAsia"/>
          <w:szCs w:val="21"/>
        </w:rPr>
        <w:t xml:space="preserve">代理机构</w:t>
      </w:r>
      <w:r>
        <w:rPr>
          <w:rFonts w:hint="eastAsia"/>
        </w:rPr>
        <w:t xml:space="preserve">、</w:t>
      </w:r>
      <w:r>
        <w:t xml:space="preserve">采购人</w:t>
      </w:r>
      <w:r>
        <w:rPr>
          <w:rFonts w:hint="eastAsia"/>
        </w:rPr>
        <w:t xml:space="preserve">将只对供应商第一次质疑作出答复。</w:t>
      </w:r>
      <w:r/>
    </w:p>
    <w:p>
      <w:pPr>
        <w:ind w:firstLine="480"/>
        <w:spacing w:line="500" w:lineRule="exact"/>
        <w:rPr>
          <w:rFonts w:hint="eastAsia"/>
        </w:rPr>
      </w:pPr>
      <w:r>
        <w:t xml:space="preserve">29</w:t>
      </w:r>
      <w:r>
        <w:rPr>
          <w:rFonts w:hint="eastAsia"/>
        </w:rPr>
        <w:t xml:space="preserve">.3质疑函必须按照</w:t>
      </w:r>
      <w:r>
        <w:rPr>
          <w:rFonts w:hint="eastAsia"/>
        </w:rPr>
        <w:t xml:space="preserve">财政部</w:t>
      </w:r>
      <w:r>
        <w:rPr>
          <w:rFonts w:hint="eastAsia"/>
        </w:rPr>
        <w:t xml:space="preserve">《质疑函范本》要求的格式和内容进行填写。供应商如组成联合体参加投标，则《质疑函范本》中要求签字、盖章、加盖公章之处，联合体各方均须按要求签字、盖章、加盖公章。</w:t>
      </w:r>
      <w:r/>
    </w:p>
    <w:p>
      <w:pPr>
        <w:ind w:firstLine="480"/>
        <w:spacing w:line="500" w:lineRule="exact"/>
        <w:rPr>
          <w:rFonts w:hint="eastAsia"/>
          <w:b/>
        </w:rPr>
      </w:pPr>
      <w:r>
        <w:t xml:space="preserve">29</w:t>
      </w:r>
      <w:r>
        <w:rPr>
          <w:rFonts w:hint="eastAsia"/>
        </w:rPr>
        <w:t xml:space="preserve">.4 供应商（含潜在</w:t>
      </w:r>
      <w:r>
        <w:t xml:space="preserve">供应商</w:t>
      </w:r>
      <w:r>
        <w:rPr>
          <w:rFonts w:hint="eastAsia"/>
        </w:rPr>
        <w:t xml:space="preserve">）对</w:t>
      </w:r>
      <w:r>
        <w:t xml:space="preserve">采购方式、</w:t>
      </w:r>
      <w:r>
        <w:rPr>
          <w:rFonts w:hint="eastAsia"/>
        </w:rPr>
        <w:t xml:space="preserve">招标文件中采购</w:t>
      </w:r>
      <w:r>
        <w:t xml:space="preserve">需求、</w:t>
      </w:r>
      <w:r>
        <w:rPr>
          <w:rFonts w:hint="eastAsia"/>
        </w:rPr>
        <w:t xml:space="preserve">供应商</w:t>
      </w:r>
      <w:r>
        <w:t xml:space="preserve">资格条件、</w:t>
      </w:r>
      <w:r>
        <w:rPr>
          <w:rFonts w:hint="eastAsia"/>
        </w:rPr>
        <w:t xml:space="preserve">评标方法</w:t>
      </w:r>
      <w:r>
        <w:t xml:space="preserve">和评标标准、合同文本</w:t>
      </w:r>
      <w:r>
        <w:rPr>
          <w:rFonts w:hint="eastAsia"/>
        </w:rPr>
        <w:t xml:space="preserve">及</w:t>
      </w:r>
      <w:r>
        <w:t xml:space="preserve">资格</w:t>
      </w:r>
      <w:r>
        <w:rPr>
          <w:rFonts w:hint="eastAsia"/>
        </w:rPr>
        <w:t xml:space="preserve">审查结果的</w:t>
      </w:r>
      <w:r>
        <w:t xml:space="preserve">询问</w:t>
      </w:r>
      <w:r>
        <w:rPr>
          <w:rFonts w:hint="eastAsia"/>
        </w:rPr>
        <w:t xml:space="preserve">、质疑</w:t>
      </w:r>
      <w:r>
        <w:t xml:space="preserve">请向采购人提出，由采购人负责答复。</w:t>
      </w:r>
      <w:r>
        <w:rPr>
          <w:rFonts w:hint="eastAsia"/>
        </w:rPr>
        <w:t xml:space="preserve">供应商对</w:t>
      </w:r>
      <w:r>
        <w:t xml:space="preserve">其他事项</w:t>
      </w:r>
      <w:r>
        <w:rPr>
          <w:rFonts w:hint="eastAsia"/>
        </w:rPr>
        <w:t xml:space="preserve">的询问</w:t>
      </w:r>
      <w:r>
        <w:t xml:space="preserve">、质疑请向</w:t>
      </w:r>
      <w:r>
        <w:rPr>
          <w:rFonts w:hint="eastAsia"/>
          <w:szCs w:val="21"/>
        </w:rPr>
        <w:t xml:space="preserve">代理机构</w:t>
      </w:r>
      <w:r>
        <w:t xml:space="preserve">提出，由</w:t>
      </w:r>
      <w:r>
        <w:rPr>
          <w:rFonts w:hint="eastAsia"/>
          <w:szCs w:val="21"/>
        </w:rPr>
        <w:t xml:space="preserve">代理机构</w:t>
      </w:r>
      <w:r>
        <w:rPr>
          <w:rFonts w:hint="eastAsia"/>
        </w:rPr>
        <w:t xml:space="preserve">负责</w:t>
      </w:r>
      <w:r>
        <w:t xml:space="preserve">答复。</w:t>
      </w:r>
      <w:r/>
    </w:p>
    <w:p>
      <w:pPr>
        <w:ind w:firstLine="480"/>
        <w:spacing w:line="500" w:lineRule="exact"/>
        <w:rPr>
          <w:rFonts w:hint="eastAsia"/>
        </w:rPr>
      </w:pPr>
      <w:r/>
      <w:bookmarkStart w:id="318" w:name="_Hlk149903315"/>
      <w:r>
        <w:rPr>
          <w:rFonts w:hint="eastAsia"/>
        </w:rPr>
        <w:t xml:space="preserve">采购人及</w:t>
      </w:r>
      <w:r>
        <w:rPr>
          <w:rFonts w:hint="eastAsia"/>
          <w:szCs w:val="21"/>
        </w:rPr>
        <w:t xml:space="preserve">代理机构</w:t>
      </w:r>
      <w:r>
        <w:rPr>
          <w:rFonts w:hint="eastAsia"/>
        </w:rPr>
        <w:t xml:space="preserve">只接收以纸质原件形式送达的质疑,建议供应商尽量通过</w:t>
      </w:r>
      <w:r>
        <w:rPr>
          <w:rFonts w:hint="eastAsia"/>
        </w:rPr>
        <w:t xml:space="preserve">现场递交或</w:t>
      </w:r>
      <w:r>
        <w:rPr>
          <w:rFonts w:hint="eastAsia"/>
        </w:rPr>
        <w:t xml:space="preserve">邮寄方式提交质疑（采购人和</w:t>
      </w:r>
      <w:r>
        <w:rPr>
          <w:rFonts w:hint="eastAsia"/>
          <w:szCs w:val="21"/>
        </w:rPr>
        <w:t xml:space="preserve">代理机构</w:t>
      </w:r>
      <w:r>
        <w:rPr>
          <w:rFonts w:hint="eastAsia"/>
        </w:rPr>
        <w:t xml:space="preserve">不接受未填写快递运单的快件）。</w:t>
      </w:r>
      <w:r/>
    </w:p>
    <w:p>
      <w:pPr>
        <w:ind w:firstLine="480"/>
        <w:spacing w:line="500" w:lineRule="exact"/>
        <w:rPr>
          <w:rFonts w:hint="eastAsia"/>
        </w:rPr>
      </w:pPr>
      <w:r>
        <w:rPr>
          <w:rFonts w:hint="eastAsia"/>
          <w:szCs w:val="21"/>
        </w:rPr>
        <w:t xml:space="preserve">代理机构</w:t>
      </w:r>
      <w:r>
        <w:rPr>
          <w:rFonts w:hint="eastAsia"/>
        </w:rPr>
        <w:t xml:space="preserve">质疑接收部门为</w:t>
      </w:r>
      <w:r>
        <w:rPr>
          <w:rFonts w:hint="eastAsia"/>
        </w:rPr>
        <w:t xml:space="preserve">：</w:t>
      </w:r>
      <w:r>
        <w:rPr>
          <w:rFonts w:hint="eastAsia"/>
        </w:rPr>
        <w:t xml:space="preserve">综合办公室</w:t>
      </w:r>
      <w:r/>
    </w:p>
    <w:p>
      <w:pPr>
        <w:ind w:firstLine="480"/>
        <w:spacing w:line="500" w:lineRule="exact"/>
        <w:rPr>
          <w:rFonts w:hint="eastAsia"/>
          <w:u w:val="single"/>
        </w:rPr>
      </w:pPr>
      <w:r>
        <w:rPr>
          <w:rFonts w:hint="eastAsia"/>
        </w:rPr>
        <w:t xml:space="preserve">联系地址</w:t>
      </w:r>
      <w:r>
        <w:t xml:space="preserve">：</w:t>
      </w:r>
      <w:r>
        <w:rPr>
          <w:rFonts w:hint="eastAsia"/>
          <w:u w:val="single"/>
        </w:rPr>
        <w:t xml:space="preserve">常州市武进区湖塘镇长安路9-33号(阳湖名城北门进小区往东28米上3楼)</w:t>
      </w:r>
      <w:r>
        <w:rPr>
          <w:u w:val="single"/>
        </w:rPr>
        <w:t xml:space="preserve">；</w:t>
      </w:r>
      <w:r/>
    </w:p>
    <w:p>
      <w:pPr>
        <w:ind w:firstLine="480"/>
        <w:spacing w:line="500" w:lineRule="exact"/>
        <w:rPr>
          <w:rFonts w:hint="eastAsia"/>
          <w:u w:val="single"/>
        </w:rPr>
      </w:pPr>
      <w:r>
        <w:t xml:space="preserve">联系电话：</w:t>
      </w:r>
      <w:r>
        <w:rPr>
          <w:rFonts w:hint="eastAsia"/>
          <w:u w:val="single"/>
        </w:rPr>
        <w:t xml:space="preserve">0519-88</w:t>
      </w:r>
      <w:r>
        <w:rPr>
          <w:u w:val="single"/>
        </w:rPr>
        <w:t xml:space="preserve">865352</w:t>
      </w:r>
      <w:r>
        <w:t xml:space="preserve">；</w:t>
      </w:r>
      <w:bookmarkEnd w:id="318"/>
      <w:r/>
    </w:p>
    <w:p>
      <w:pPr>
        <w:ind w:firstLine="480"/>
        <w:spacing w:line="500" w:lineRule="exact"/>
        <w:rPr>
          <w:rFonts w:hint="eastAsia"/>
        </w:rPr>
      </w:pPr>
      <w:r>
        <w:t xml:space="preserve">29</w:t>
      </w:r>
      <w:r>
        <w:rPr>
          <w:rFonts w:hint="eastAsia"/>
        </w:rPr>
        <w:t xml:space="preserve">.5 以下情形的质疑不予受理</w:t>
      </w:r>
      <w:r>
        <w:rPr>
          <w:rFonts w:hint="eastAsia"/>
        </w:rPr>
        <w:t xml:space="preserve">：</w:t>
      </w:r>
      <w:r/>
    </w:p>
    <w:p>
      <w:pPr>
        <w:ind w:firstLine="480"/>
        <w:spacing w:line="500" w:lineRule="exact"/>
        <w:rPr>
          <w:rFonts w:hint="eastAsia"/>
        </w:rPr>
      </w:pPr>
      <w:r>
        <w:t xml:space="preserve">29</w:t>
      </w:r>
      <w:r>
        <w:rPr>
          <w:rFonts w:hint="eastAsia"/>
        </w:rPr>
        <w:t xml:space="preserve">.5.1 内容不符合《政府采购质疑和投诉办法》第十二条规定的质疑。</w:t>
      </w:r>
      <w:r/>
    </w:p>
    <w:p>
      <w:pPr>
        <w:ind w:firstLine="480"/>
        <w:spacing w:line="500" w:lineRule="exact"/>
        <w:rPr>
          <w:rFonts w:hint="eastAsia"/>
        </w:rPr>
      </w:pPr>
      <w:r>
        <w:t xml:space="preserve">29</w:t>
      </w:r>
      <w:r>
        <w:rPr>
          <w:rFonts w:hint="eastAsia"/>
        </w:rPr>
        <w:t xml:space="preserve">.5.2 超出政府采购法定期限的质疑。</w:t>
      </w:r>
      <w:r/>
    </w:p>
    <w:p>
      <w:pPr>
        <w:ind w:firstLine="480"/>
        <w:spacing w:line="500" w:lineRule="exact"/>
        <w:rPr>
          <w:rFonts w:hint="eastAsia"/>
        </w:rPr>
      </w:pPr>
      <w:r>
        <w:t xml:space="preserve">29</w:t>
      </w:r>
      <w:r>
        <w:rPr>
          <w:rFonts w:hint="eastAsia"/>
        </w:rPr>
        <w:t xml:space="preserve">.5.3 以传真、电子邮件等方式递交的非原件形式的质疑。</w:t>
      </w:r>
      <w:r/>
    </w:p>
    <w:p>
      <w:pPr>
        <w:ind w:firstLine="480"/>
        <w:spacing w:line="500" w:lineRule="exact"/>
        <w:rPr>
          <w:rFonts w:hint="eastAsia"/>
        </w:rPr>
      </w:pPr>
      <w:r>
        <w:t xml:space="preserve">29</w:t>
      </w:r>
      <w:r>
        <w:rPr>
          <w:rFonts w:hint="eastAsia"/>
        </w:rPr>
        <w:t xml:space="preserve">.5.4 未参加投标活动的供应商或在投标活动中自身权益未受到损害的供应商所提出的质疑。</w:t>
      </w:r>
      <w:r/>
    </w:p>
    <w:p>
      <w:pPr>
        <w:ind w:firstLine="480"/>
        <w:spacing w:line="500" w:lineRule="exact"/>
        <w:rPr>
          <w:rFonts w:hint="eastAsia"/>
        </w:rPr>
      </w:pPr>
      <w:r>
        <w:t xml:space="preserve">29</w:t>
      </w:r>
      <w:r>
        <w:rPr>
          <w:rFonts w:hint="eastAsia"/>
        </w:rPr>
        <w:t xml:space="preserve">.5.5供应商组成联合体参加投标，联合体中任何一方或多方未按要求签字、盖章、加盖公章的质疑。</w:t>
      </w:r>
      <w:r/>
    </w:p>
    <w:p>
      <w:pPr>
        <w:ind w:firstLine="468"/>
        <w:spacing w:line="500" w:lineRule="exact"/>
        <w:rPr>
          <w:rFonts w:hint="eastAsia"/>
        </w:rPr>
      </w:pPr>
      <w:r>
        <w:t xml:space="preserve">29</w:t>
      </w:r>
      <w:r>
        <w:rPr>
          <w:rFonts w:hint="eastAsia"/>
        </w:rPr>
        <w:t xml:space="preserve">.6  供应商提出书面质疑必须有理、有据，不得捏造事实、提供虚假材料进行恶意质疑。否则，一经查实，</w:t>
      </w:r>
      <w:r>
        <w:rPr>
          <w:rFonts w:hint="eastAsia"/>
        </w:rPr>
        <w:t xml:space="preserve">代理机构</w:t>
      </w:r>
      <w:r>
        <w:rPr>
          <w:rFonts w:hint="eastAsia"/>
        </w:rPr>
        <w:t xml:space="preserve">有权依据政府采购的有关规定，报请政府采购监管部门对该供应商进行相应的行政处罚和记录该供应商的失信信息。</w:t>
      </w:r>
      <w:r/>
    </w:p>
    <w:p>
      <w:pPr>
        <w:ind w:firstLine="600"/>
        <w:keepLines/>
        <w:keepNext/>
        <w:spacing w:line="500" w:lineRule="exact"/>
        <w:rPr>
          <w:rFonts w:hint="eastAsia"/>
          <w:bCs/>
          <w:sz w:val="30"/>
          <w:szCs w:val="30"/>
        </w:rPr>
        <w:outlineLvl w:val="3"/>
      </w:pPr>
      <w:r>
        <w:rPr>
          <w:rFonts w:hint="eastAsia"/>
          <w:bCs/>
          <w:sz w:val="30"/>
          <w:szCs w:val="30"/>
        </w:rPr>
        <w:t xml:space="preserve">3</w:t>
      </w:r>
      <w:r>
        <w:rPr>
          <w:bCs/>
          <w:sz w:val="30"/>
          <w:szCs w:val="30"/>
        </w:rPr>
        <w:t xml:space="preserve">0</w:t>
      </w:r>
      <w:r>
        <w:rPr>
          <w:rFonts w:hint="eastAsia"/>
          <w:bCs/>
          <w:sz w:val="30"/>
          <w:szCs w:val="30"/>
        </w:rPr>
        <w:t xml:space="preserve">、中标通知书</w:t>
      </w:r>
      <w:r/>
    </w:p>
    <w:p>
      <w:pPr>
        <w:ind w:firstLine="600"/>
        <w:spacing w:line="500" w:lineRule="exact"/>
        <w:rPr>
          <w:rFonts w:hint="eastAsia"/>
        </w:rPr>
      </w:pPr>
      <w:r>
        <w:t xml:space="preserve">30</w:t>
      </w:r>
      <w:r>
        <w:rPr>
          <w:rFonts w:hint="eastAsia"/>
        </w:rPr>
        <w:t xml:space="preserve">.l</w:t>
      </w:r>
      <w:r>
        <w:rPr>
          <w:rFonts w:hint="eastAsia"/>
          <w:b/>
        </w:rPr>
        <w:t xml:space="preserve"> </w:t>
      </w:r>
      <w:r>
        <w:rPr>
          <w:rFonts w:hint="eastAsia"/>
        </w:rPr>
        <w:t xml:space="preserve">中标结果确定后，</w:t>
      </w:r>
      <w:r>
        <w:rPr>
          <w:rFonts w:hint="eastAsia"/>
        </w:rPr>
        <w:t xml:space="preserve">代理机构</w:t>
      </w:r>
      <w:r>
        <w:rPr>
          <w:rFonts w:hint="eastAsia"/>
        </w:rPr>
        <w:t xml:space="preserve">将向中标人发出中标通知书。</w:t>
      </w:r>
      <w:r/>
    </w:p>
    <w:p>
      <w:pPr>
        <w:ind w:firstLine="600"/>
        <w:spacing w:line="500" w:lineRule="exact"/>
        <w:rPr>
          <w:rFonts w:hint="eastAsia"/>
        </w:rPr>
      </w:pPr>
      <w:r>
        <w:rPr>
          <w:rFonts w:hint="eastAsia"/>
        </w:rPr>
        <w:t xml:space="preserve">3</w:t>
      </w:r>
      <w:r>
        <w:t xml:space="preserve">0</w:t>
      </w:r>
      <w:r>
        <w:rPr>
          <w:rFonts w:hint="eastAsia"/>
        </w:rPr>
        <w:t xml:space="preserve">.2中标通知书将是合同的一个组成部分。对采购人和中标供应商均具有法律效力。中标通知书发出后，采购人改变中标结果的，或者中标供应商放弃中标项目的，应当依法承担法律责任。</w:t>
      </w:r>
      <w:r/>
    </w:p>
    <w:p>
      <w:pPr>
        <w:ind w:firstLine="643"/>
        <w:keepLines/>
        <w:keepNext/>
        <w:spacing w:line="500" w:lineRule="exact"/>
        <w:rPr>
          <w:rFonts w:hint="eastAsia"/>
          <w:b/>
          <w:bCs/>
          <w:sz w:val="32"/>
          <w:szCs w:val="32"/>
        </w:rPr>
        <w:outlineLvl w:val="2"/>
      </w:pPr>
      <w:r/>
      <w:bookmarkStart w:id="319" w:name="_Toc120614220"/>
      <w:r/>
      <w:bookmarkStart w:id="320" w:name="_Toc152683030"/>
      <w:r/>
      <w:bookmarkStart w:id="321" w:name="_Toc152683389"/>
      <w:r/>
      <w:bookmarkStart w:id="322" w:name="_Toc152683549"/>
      <w:r/>
      <w:bookmarkStart w:id="323" w:name="_Toc197636562"/>
      <w:r/>
      <w:bookmarkStart w:id="324" w:name="_Toc197636613"/>
      <w:r/>
      <w:bookmarkStart w:id="325" w:name="_Toc513029236"/>
      <w:r/>
      <w:bookmarkStart w:id="326" w:name="_Toc16938552"/>
      <w:r/>
      <w:bookmarkStart w:id="327" w:name="_Toc20823308"/>
      <w:r>
        <w:rPr>
          <w:rFonts w:hint="eastAsia"/>
          <w:b/>
          <w:bCs/>
          <w:sz w:val="32"/>
          <w:szCs w:val="32"/>
        </w:rPr>
        <w:t xml:space="preserve">七、授予合同</w:t>
      </w:r>
      <w:bookmarkEnd w:id="319"/>
      <w:r/>
      <w:bookmarkEnd w:id="320"/>
      <w:r/>
      <w:bookmarkEnd w:id="321"/>
      <w:r/>
      <w:bookmarkEnd w:id="322"/>
      <w:r/>
      <w:bookmarkEnd w:id="323"/>
      <w:r/>
      <w:bookmarkEnd w:id="324"/>
      <w:r/>
      <w:r/>
    </w:p>
    <w:p>
      <w:pPr>
        <w:ind w:firstLine="600"/>
        <w:keepLines/>
        <w:keepNext/>
        <w:spacing w:line="500" w:lineRule="exact"/>
        <w:rPr>
          <w:rFonts w:hint="eastAsia"/>
          <w:bCs/>
          <w:sz w:val="30"/>
          <w:szCs w:val="30"/>
        </w:rPr>
        <w:outlineLvl w:val="3"/>
      </w:pPr>
      <w:r/>
      <w:bookmarkStart w:id="328" w:name="_Toc513029237"/>
      <w:r/>
      <w:bookmarkStart w:id="329" w:name="_Toc16938553"/>
      <w:r/>
      <w:bookmarkStart w:id="330" w:name="_Toc20823309"/>
      <w:r/>
      <w:bookmarkEnd w:id="325"/>
      <w:r/>
      <w:bookmarkEnd w:id="326"/>
      <w:r/>
      <w:bookmarkEnd w:id="327"/>
      <w:r>
        <w:rPr>
          <w:rFonts w:hint="eastAsia"/>
          <w:bCs/>
          <w:sz w:val="30"/>
          <w:szCs w:val="30"/>
        </w:rPr>
        <w:t xml:space="preserve">3</w:t>
      </w:r>
      <w:r>
        <w:rPr>
          <w:bCs/>
          <w:sz w:val="30"/>
          <w:szCs w:val="30"/>
        </w:rPr>
        <w:t xml:space="preserve">1</w:t>
      </w:r>
      <w:r>
        <w:rPr>
          <w:rFonts w:hint="eastAsia"/>
          <w:bCs/>
          <w:sz w:val="30"/>
          <w:szCs w:val="30"/>
        </w:rPr>
        <w:t xml:space="preserve">. 签订合同</w:t>
      </w:r>
      <w:r/>
    </w:p>
    <w:p>
      <w:pPr>
        <w:ind w:firstLine="600"/>
        <w:spacing w:line="500" w:lineRule="exact"/>
        <w:rPr>
          <w:rFonts w:hint="eastAsia"/>
        </w:rPr>
      </w:pPr>
      <w:r>
        <w:rPr>
          <w:rFonts w:hint="eastAsia"/>
          <w:bCs/>
        </w:rPr>
        <w:t xml:space="preserve">3</w:t>
      </w:r>
      <w:r>
        <w:rPr>
          <w:bCs/>
        </w:rPr>
        <w:t xml:space="preserve">1</w:t>
      </w:r>
      <w:r>
        <w:rPr>
          <w:rFonts w:hint="eastAsia"/>
        </w:rPr>
        <w:t xml:space="preserve">.l中标人应当在中标通知书发出之日起三十日内，按照招标文件确定的事项与采购人签订政府采购合同。</w:t>
      </w:r>
      <w:r/>
    </w:p>
    <w:p>
      <w:pPr>
        <w:ind w:firstLine="600"/>
        <w:spacing w:line="500" w:lineRule="exact"/>
        <w:rPr>
          <w:rFonts w:hint="eastAsia"/>
        </w:rPr>
      </w:pPr>
      <w:r>
        <w:rPr>
          <w:rFonts w:hint="eastAsia"/>
        </w:rPr>
        <w:t xml:space="preserve">3</w:t>
      </w:r>
      <w:r>
        <w:t xml:space="preserve">1</w:t>
      </w:r>
      <w:r>
        <w:rPr>
          <w:rFonts w:hint="eastAsia"/>
        </w:rPr>
        <w:t xml:space="preserve">.2</w:t>
      </w:r>
      <w:r>
        <w:rPr>
          <w:rFonts w:hint="eastAsia"/>
          <w:b/>
        </w:rPr>
        <w:t xml:space="preserve"> </w:t>
      </w:r>
      <w:r>
        <w:rPr>
          <w:rFonts w:hint="eastAsia"/>
        </w:rPr>
        <w:t xml:space="preserve">招标文件、中标人的投标文件及招标过程中有关澄清、承诺文件均应作为合同附件。</w:t>
      </w:r>
      <w:r/>
    </w:p>
    <w:p>
      <w:pPr>
        <w:ind w:firstLine="600"/>
        <w:spacing w:line="500" w:lineRule="exact"/>
        <w:rPr>
          <w:rFonts w:hint="eastAsia"/>
        </w:rPr>
      </w:pPr>
      <w:r>
        <w:rPr>
          <w:rFonts w:hint="eastAsia"/>
        </w:rPr>
        <w:t xml:space="preserve">31.3 签订合同后，中标人不得将合同标的进行转包。未经采购人同意，中标人也不得采用分包的形式履行合同，否则采购人有权终止合同。转包或分包造成采购人损失的，中标人应承担相应赔偿责任。</w:t>
      </w:r>
      <w:r/>
    </w:p>
    <w:p>
      <w:pPr>
        <w:ind w:firstLine="600"/>
        <w:keepLines/>
        <w:keepNext/>
        <w:spacing w:line="500" w:lineRule="exact"/>
        <w:rPr>
          <w:rFonts w:hint="eastAsia"/>
          <w:bCs/>
          <w:sz w:val="30"/>
          <w:szCs w:val="30"/>
        </w:rPr>
        <w:outlineLvl w:val="3"/>
      </w:pPr>
      <w:r>
        <w:rPr>
          <w:rFonts w:hint="eastAsia"/>
          <w:bCs/>
          <w:sz w:val="30"/>
          <w:szCs w:val="30"/>
        </w:rPr>
        <w:t xml:space="preserve">3</w:t>
      </w:r>
      <w:r>
        <w:rPr>
          <w:bCs/>
          <w:sz w:val="30"/>
          <w:szCs w:val="30"/>
        </w:rPr>
        <w:t xml:space="preserve">2</w:t>
      </w:r>
      <w:r>
        <w:rPr>
          <w:rFonts w:hint="eastAsia"/>
          <w:bCs/>
          <w:sz w:val="30"/>
          <w:szCs w:val="30"/>
        </w:rPr>
        <w:t xml:space="preserve">、货物（包含与货物相关的服务）的追加</w:t>
      </w:r>
      <w:r/>
    </w:p>
    <w:p>
      <w:pPr>
        <w:ind w:firstLine="480"/>
        <w:spacing w:line="500" w:lineRule="exact"/>
        <w:rPr>
          <w:rFonts w:hint="eastAsia"/>
        </w:rPr>
      </w:pPr>
      <w:r>
        <w:rPr>
          <w:rFonts w:hint="eastAsia"/>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firstLine="643"/>
        <w:keepLines/>
        <w:keepNext/>
        <w:spacing w:line="500" w:lineRule="exact"/>
        <w:rPr>
          <w:rFonts w:hint="eastAsia"/>
          <w:b/>
          <w:bCs/>
          <w:sz w:val="32"/>
          <w:szCs w:val="32"/>
        </w:rPr>
        <w:outlineLvl w:val="2"/>
      </w:pPr>
      <w:r/>
      <w:bookmarkStart w:id="331" w:name="_Toc197636563"/>
      <w:r/>
      <w:bookmarkStart w:id="332" w:name="_Toc197636614"/>
      <w:r/>
      <w:bookmarkStart w:id="333" w:name="_Hlk160541934"/>
      <w:r/>
      <w:bookmarkEnd w:id="328"/>
      <w:r/>
      <w:bookmarkEnd w:id="329"/>
      <w:r/>
      <w:bookmarkEnd w:id="330"/>
      <w:r>
        <w:rPr>
          <w:rFonts w:hint="eastAsia"/>
          <w:b/>
          <w:bCs/>
          <w:sz w:val="32"/>
          <w:szCs w:val="32"/>
        </w:rPr>
        <w:t xml:space="preserve">八、政府采购政策</w:t>
      </w:r>
      <w:bookmarkEnd w:id="331"/>
      <w:r/>
      <w:bookmarkEnd w:id="332"/>
      <w:r/>
      <w:r/>
    </w:p>
    <w:p>
      <w:pPr>
        <w:ind w:firstLine="600"/>
        <w:keepLines/>
        <w:keepNext/>
        <w:spacing w:line="500" w:lineRule="exact"/>
        <w:rPr>
          <w:rFonts w:hint="eastAsia"/>
          <w:bCs/>
          <w:sz w:val="30"/>
          <w:szCs w:val="30"/>
        </w:rPr>
        <w:outlineLvl w:val="3"/>
      </w:pPr>
      <w:r>
        <w:rPr>
          <w:rFonts w:hint="eastAsia"/>
          <w:bCs/>
          <w:sz w:val="30"/>
          <w:szCs w:val="30"/>
        </w:rPr>
        <w:t xml:space="preserve">3</w:t>
      </w:r>
      <w:r>
        <w:rPr>
          <w:bCs/>
          <w:sz w:val="30"/>
          <w:szCs w:val="30"/>
        </w:rPr>
        <w:t xml:space="preserve">3</w:t>
      </w:r>
      <w:r>
        <w:rPr>
          <w:rFonts w:hint="eastAsia"/>
          <w:bCs/>
          <w:sz w:val="30"/>
          <w:szCs w:val="30"/>
        </w:rPr>
        <w:t xml:space="preserve">、</w:t>
      </w:r>
      <w:r>
        <w:rPr>
          <w:bCs/>
          <w:sz w:val="30"/>
          <w:szCs w:val="30"/>
        </w:rPr>
        <w:t xml:space="preserve">进口产品</w:t>
      </w:r>
      <w:r>
        <w:rPr>
          <w:rFonts w:hint="eastAsia"/>
          <w:bCs/>
          <w:sz w:val="30"/>
          <w:szCs w:val="30"/>
        </w:rPr>
        <w:t xml:space="preserve">：</w:t>
      </w:r>
      <w:r/>
    </w:p>
    <w:p>
      <w:pPr>
        <w:ind w:firstLine="480"/>
        <w:spacing w:line="500" w:lineRule="exact"/>
        <w:tabs>
          <w:tab w:val="left" w:pos="1080" w:leader="none"/>
          <w:tab w:val="left" w:pos="1589" w:leader="none"/>
          <w:tab w:val="left" w:pos="2014" w:leader="none"/>
        </w:tabs>
        <w:rPr>
          <w:rFonts w:hint="eastAsia"/>
          <w:b/>
          <w:bCs/>
        </w:rPr>
      </w:pPr>
      <w: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600"/>
        <w:keepLines/>
        <w:keepNext/>
        <w:spacing w:line="500" w:lineRule="exact"/>
        <w:rPr>
          <w:rFonts w:hint="eastAsia"/>
          <w:bCs/>
          <w:sz w:val="30"/>
          <w:szCs w:val="30"/>
        </w:rPr>
        <w:outlineLvl w:val="3"/>
      </w:pPr>
      <w:r>
        <w:rPr>
          <w:rFonts w:hint="eastAsia"/>
          <w:bCs/>
          <w:sz w:val="30"/>
          <w:szCs w:val="30"/>
        </w:rPr>
        <w:t xml:space="preserve">34、</w:t>
      </w:r>
      <w:r>
        <w:rPr>
          <w:bCs/>
          <w:sz w:val="30"/>
          <w:szCs w:val="30"/>
        </w:rPr>
        <w:t xml:space="preserve">政府采购节能产品、环境标志产品</w:t>
      </w:r>
      <w:r/>
    </w:p>
    <w:p>
      <w:pPr>
        <w:ind w:firstLine="480"/>
        <w:spacing w:line="500" w:lineRule="exact"/>
        <w:tabs>
          <w:tab w:val="left" w:pos="1980" w:leader="none"/>
        </w:tabs>
        <w:rPr>
          <w:rFonts w:hint="eastAsia"/>
        </w:rPr>
      </w:pPr>
      <w:r>
        <w:t xml:space="preserve">34.1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80"/>
        <w:spacing w:line="500" w:lineRule="exact"/>
        <w:tabs>
          <w:tab w:val="left" w:pos="1980" w:leader="none"/>
        </w:tabs>
        <w:rPr>
          <w:rFonts w:hint="eastAsia"/>
        </w:rPr>
      </w:pPr>
      <w:r>
        <w:t xml:space="preserve">34.2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82"/>
        <w:spacing w:line="500" w:lineRule="exact"/>
        <w:tabs>
          <w:tab w:val="left" w:pos="1980" w:leader="none"/>
        </w:tabs>
        <w:rPr>
          <w:rFonts w:hint="eastAsia"/>
          <w:b/>
        </w:rPr>
      </w:pPr>
      <w:r>
        <w:rPr>
          <w:b/>
        </w:rPr>
        <w:t xml:space="preserve">34.3如本项目采购产品属于实施政府强制采购品目清单范围的节能产品，则投标人所报产品必须获得国家确定的认证机构出具的、处于有效期之内的节能产品认证证书，否则投标无效；</w:t>
      </w:r>
      <w:r/>
    </w:p>
    <w:p>
      <w:pPr>
        <w:ind w:firstLine="480"/>
        <w:spacing w:line="500" w:lineRule="exact"/>
        <w:tabs>
          <w:tab w:val="left" w:pos="1980" w:leader="none"/>
        </w:tabs>
        <w:rPr>
          <w:rFonts w:hint="eastAsia"/>
        </w:rPr>
      </w:pPr>
      <w:r>
        <w:t xml:space="preserve">34.5非政府强制采购的节能产品或环境标志产品，依据品目清单和认证证书实施政府优先采购。优先采购的具体规定见第四章《评标方法和评标标准》（如涉及）。</w:t>
      </w:r>
      <w:r/>
    </w:p>
    <w:p>
      <w:pPr>
        <w:ind w:firstLine="600"/>
        <w:keepLines/>
        <w:keepNext/>
        <w:spacing w:line="500" w:lineRule="exact"/>
        <w:rPr>
          <w:rFonts w:hint="eastAsia"/>
          <w:bCs/>
          <w:sz w:val="30"/>
          <w:szCs w:val="30"/>
        </w:rPr>
        <w:outlineLvl w:val="3"/>
      </w:pPr>
      <w:r>
        <w:rPr>
          <w:bCs/>
          <w:sz w:val="30"/>
          <w:szCs w:val="30"/>
        </w:rPr>
        <w:t xml:space="preserve">35</w:t>
      </w:r>
      <w:r>
        <w:rPr>
          <w:rFonts w:hint="eastAsia"/>
          <w:bCs/>
          <w:sz w:val="30"/>
          <w:szCs w:val="30"/>
        </w:rPr>
        <w:t xml:space="preserve">、</w:t>
      </w:r>
      <w:r>
        <w:rPr>
          <w:bCs/>
          <w:sz w:val="30"/>
          <w:szCs w:val="30"/>
        </w:rPr>
        <w:t xml:space="preserve">商品包装政府采购需求标准</w:t>
      </w:r>
      <w:r>
        <w:rPr>
          <w:rFonts w:hint="eastAsia"/>
          <w:bCs/>
          <w:sz w:val="30"/>
          <w:szCs w:val="30"/>
        </w:rPr>
        <w:t xml:space="preserve">、</w:t>
      </w:r>
      <w:r>
        <w:rPr>
          <w:bCs/>
          <w:sz w:val="30"/>
          <w:szCs w:val="30"/>
        </w:rPr>
        <w:t xml:space="preserve">快递包装政府采购需求标准</w:t>
      </w:r>
      <w:r/>
    </w:p>
    <w:p>
      <w:pPr>
        <w:ind w:firstLine="480"/>
        <w:spacing w:line="500" w:lineRule="exact"/>
        <w:tabs>
          <w:tab w:val="left" w:pos="1980" w:leader="none"/>
          <w:tab w:val="left" w:pos="2014" w:leader="none"/>
        </w:tabs>
        <w:rPr>
          <w:rFonts w:hint="eastAsia"/>
          <w:b/>
          <w:bCs/>
        </w:rPr>
      </w:pPr>
      <w:r>
        <w:rPr>
          <w:rFonts w:hint="eastAsia"/>
        </w:rPr>
        <w:t xml:space="preserve">依据</w:t>
      </w:r>
      <w:r>
        <w:t xml:space="preserve">《关于印发〈商品包装政府采购需求标准（试行）〉、〈快递包装政府采购需求标准（试行）〉的通知》（财办库〔2020〕123号）</w:t>
      </w:r>
      <w:r>
        <w:rPr>
          <w:rFonts w:hint="eastAsia"/>
        </w:rPr>
        <w:t xml:space="preserve">文件</w:t>
      </w:r>
      <w:r>
        <w:t xml:space="preserve">精神</w:t>
      </w:r>
      <w:r>
        <w:rPr>
          <w:rFonts w:hint="eastAsia"/>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600"/>
        <w:keepLines/>
        <w:keepNext/>
        <w:spacing w:line="500" w:lineRule="exact"/>
        <w:rPr>
          <w:rFonts w:hint="eastAsia"/>
          <w:bCs/>
          <w:sz w:val="30"/>
          <w:szCs w:val="30"/>
        </w:rPr>
        <w:outlineLvl w:val="3"/>
      </w:pPr>
      <w:r>
        <w:rPr>
          <w:bCs/>
          <w:sz w:val="30"/>
          <w:szCs w:val="30"/>
        </w:rPr>
        <w:t xml:space="preserve">36</w:t>
      </w:r>
      <w:r>
        <w:rPr>
          <w:rFonts w:hint="eastAsia"/>
          <w:bCs/>
          <w:sz w:val="30"/>
          <w:szCs w:val="30"/>
        </w:rPr>
        <w:t xml:space="preserve">、</w:t>
      </w:r>
      <w:r>
        <w:rPr>
          <w:bCs/>
          <w:sz w:val="30"/>
          <w:szCs w:val="30"/>
        </w:rPr>
        <w:t xml:space="preserve">支持乡村产业振兴管理</w:t>
      </w:r>
      <w:r/>
    </w:p>
    <w:p>
      <w:pPr>
        <w:ind w:firstLine="480"/>
        <w:spacing w:line="500" w:lineRule="exact"/>
        <w:tabs>
          <w:tab w:val="left" w:pos="1080" w:leader="none"/>
          <w:tab w:val="left" w:pos="1589" w:leader="none"/>
          <w:tab w:val="left" w:pos="2014" w:leader="none"/>
        </w:tabs>
        <w:rPr>
          <w:rFonts w:hint="eastAsia"/>
          <w:b/>
          <w:bCs/>
        </w:rPr>
      </w:pPr>
      <w:r>
        <w:t xml:space="preserve">为落实《关于运用政府采购政策支持乡村产业振兴的通知》（财库〔2021〕19号）有关要求，做好支持脱贫攻坚工作，本项目采购活动中对于支持乡村振兴管理的相关要求见第五章《采购需求》（如涉及）。</w:t>
      </w:r>
      <w:r/>
    </w:p>
    <w:p>
      <w:pPr>
        <w:ind w:firstLine="600"/>
        <w:keepLines/>
        <w:keepNext/>
        <w:spacing w:line="500" w:lineRule="exact"/>
        <w:rPr>
          <w:rFonts w:hint="eastAsia"/>
          <w:bCs/>
          <w:sz w:val="30"/>
          <w:szCs w:val="30"/>
        </w:rPr>
        <w:outlineLvl w:val="3"/>
      </w:pPr>
      <w:r>
        <w:rPr>
          <w:rFonts w:hint="eastAsia"/>
          <w:bCs/>
          <w:sz w:val="30"/>
          <w:szCs w:val="30"/>
        </w:rPr>
        <w:t xml:space="preserve">3</w:t>
      </w:r>
      <w:r>
        <w:rPr>
          <w:bCs/>
          <w:sz w:val="30"/>
          <w:szCs w:val="30"/>
        </w:rPr>
        <w:t xml:space="preserve">7</w:t>
      </w:r>
      <w:r>
        <w:rPr>
          <w:rFonts w:hint="eastAsia"/>
          <w:bCs/>
          <w:sz w:val="30"/>
          <w:szCs w:val="30"/>
        </w:rPr>
        <w:t xml:space="preserve">、</w:t>
      </w:r>
      <w:r>
        <w:rPr>
          <w:bCs/>
          <w:sz w:val="30"/>
          <w:szCs w:val="30"/>
        </w:rPr>
        <w:t xml:space="preserve">正版软件</w:t>
      </w:r>
      <w:r/>
    </w:p>
    <w:p>
      <w:pPr>
        <w:ind w:firstLine="480"/>
        <w:spacing w:line="500" w:lineRule="exact"/>
        <w:tabs>
          <w:tab w:val="left" w:pos="1980" w:leader="none"/>
        </w:tabs>
        <w:rPr>
          <w:rFonts w:hint="eastAsia"/>
        </w:rPr>
      </w:pPr>
      <w:r>
        <w:t xml:space="preserve">37.1依据《财政部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w:t>
      </w:r>
      <w:r>
        <w:rPr>
          <w:b/>
        </w:rPr>
        <w:t xml:space="preserve">投标无效</w:t>
      </w:r>
      <w: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ind w:firstLine="480"/>
        <w:spacing w:line="500" w:lineRule="exact"/>
        <w:tabs>
          <w:tab w:val="left" w:pos="1980" w:leader="none"/>
        </w:tabs>
        <w:rPr>
          <w:rFonts w:hint="eastAsia"/>
        </w:rPr>
      </w:pPr>
      <w:r>
        <w:t xml:space="preserve">37.2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ind w:firstLine="600"/>
        <w:keepLines/>
        <w:keepNext/>
        <w:spacing w:line="500" w:lineRule="exact"/>
        <w:rPr>
          <w:rFonts w:hint="eastAsia"/>
          <w:bCs/>
          <w:sz w:val="30"/>
          <w:szCs w:val="30"/>
        </w:rPr>
        <w:outlineLvl w:val="3"/>
      </w:pPr>
      <w:r>
        <w:rPr>
          <w:bCs/>
          <w:sz w:val="30"/>
          <w:szCs w:val="30"/>
        </w:rPr>
        <w:t xml:space="preserve">38</w:t>
      </w:r>
      <w:r>
        <w:rPr>
          <w:rFonts w:hint="eastAsia"/>
          <w:bCs/>
          <w:sz w:val="30"/>
          <w:szCs w:val="30"/>
        </w:rPr>
        <w:t xml:space="preserve">、</w:t>
      </w:r>
      <w:r>
        <w:rPr>
          <w:bCs/>
          <w:sz w:val="30"/>
          <w:szCs w:val="30"/>
        </w:rPr>
        <w:t xml:space="preserve">信息安全产品</w:t>
      </w:r>
      <w:r/>
    </w:p>
    <w:p>
      <w:pPr>
        <w:ind w:firstLine="480"/>
        <w:spacing w:line="500" w:lineRule="exact"/>
        <w:tabs>
          <w:tab w:val="left" w:pos="1080" w:leader="none"/>
          <w:tab w:val="left" w:pos="1589" w:leader="none"/>
          <w:tab w:val="left" w:pos="2014" w:leader="none"/>
        </w:tabs>
        <w:rPr>
          <w:rFonts w:hint="eastAsia"/>
          <w:b/>
          <w:bCs/>
        </w:rPr>
      </w:pPr>
      <w:r>
        <w:rPr>
          <w:rFonts w:hint="eastAsia"/>
        </w:rPr>
        <w:t xml:space="preserve">具体详见国家互联网信息办公室、工业和信息化部、公安部、财政部和国家认证认可监督管理委员会关于调整网络安全专用产品安全管理有关事项的公告 （2023年第1号）</w:t>
      </w:r>
      <w:r/>
    </w:p>
    <w:p>
      <w:pPr>
        <w:ind w:firstLine="600"/>
        <w:keepLines/>
        <w:keepNext/>
        <w:spacing w:line="500" w:lineRule="exact"/>
        <w:rPr>
          <w:rFonts w:hint="eastAsia"/>
          <w:bCs/>
          <w:sz w:val="30"/>
          <w:szCs w:val="30"/>
        </w:rPr>
        <w:outlineLvl w:val="3"/>
      </w:pPr>
      <w:r>
        <w:rPr>
          <w:bCs/>
          <w:sz w:val="30"/>
          <w:szCs w:val="30"/>
        </w:rPr>
        <w:t xml:space="preserve">39</w:t>
      </w:r>
      <w:r>
        <w:rPr>
          <w:rFonts w:hint="eastAsia"/>
          <w:bCs/>
          <w:sz w:val="30"/>
          <w:szCs w:val="30"/>
        </w:rPr>
        <w:t xml:space="preserve">、政府采购创新产品政策</w:t>
      </w:r>
      <w:r/>
    </w:p>
    <w:p>
      <w:pPr>
        <w:ind w:firstLine="480"/>
        <w:spacing w:line="500" w:lineRule="exact"/>
        <w:tabs>
          <w:tab w:val="left" w:pos="1980" w:leader="none"/>
          <w:tab w:val="left" w:pos="2014" w:leader="none"/>
        </w:tabs>
        <w:rPr>
          <w:rFonts w:hint="eastAsia"/>
          <w:b/>
          <w:bCs/>
        </w:rPr>
      </w:pPr>
      <w:r>
        <w:rPr>
          <w:rFonts w:hint="eastAsia"/>
        </w:rPr>
        <w:t xml:space="preserve">采购人要将创新要求嵌入采购项目需求，可在采购文件中设定评审规则，优先采购各级政府部门公开发布的有效期内的创新产品、创新服务、首台套、首购首用等《目录》的创新</w:t>
      </w:r>
      <w:r>
        <w:rPr>
          <w:rFonts w:hint="eastAsia"/>
        </w:rPr>
        <w:t xml:space="preserve">产品，上述《目录》内创新产品，自认定之日起2年内视同已具备相应销售业绩，参加政府采购活动时业绩分值为满分。</w:t>
      </w:r>
      <w:r/>
    </w:p>
    <w:p>
      <w:pPr>
        <w:ind w:firstLine="600"/>
        <w:keepLines/>
        <w:keepNext/>
        <w:spacing w:line="500" w:lineRule="exact"/>
        <w:rPr>
          <w:rFonts w:hint="eastAsia"/>
          <w:bCs/>
          <w:sz w:val="30"/>
          <w:szCs w:val="30"/>
        </w:rPr>
        <w:outlineLvl w:val="3"/>
      </w:pPr>
      <w:r>
        <w:rPr>
          <w:bCs/>
          <w:sz w:val="30"/>
          <w:szCs w:val="30"/>
        </w:rPr>
        <w:t xml:space="preserve">40</w:t>
      </w:r>
      <w:r>
        <w:rPr>
          <w:rFonts w:hint="eastAsia"/>
          <w:bCs/>
          <w:sz w:val="30"/>
          <w:szCs w:val="30"/>
        </w:rPr>
        <w:t xml:space="preserve">、绿色采购政策</w:t>
      </w:r>
      <w:r/>
    </w:p>
    <w:p>
      <w:pPr>
        <w:ind w:firstLine="480"/>
        <w:spacing w:line="500" w:lineRule="exact"/>
        <w:tabs>
          <w:tab w:val="left" w:pos="1980" w:leader="none"/>
          <w:tab w:val="left" w:pos="2014" w:leader="none"/>
        </w:tabs>
        <w:rPr>
          <w:rFonts w:hint="eastAsia"/>
        </w:rPr>
      </w:pPr>
      <w:r>
        <w:t xml:space="preserve">40.1</w:t>
      </w:r>
      <w:r>
        <w:rPr>
          <w:rFonts w:hint="eastAsia"/>
        </w:rPr>
        <w:t xml:space="preserve">绿色数据中心政策 </w:t>
      </w:r>
      <w:r/>
    </w:p>
    <w:p>
      <w:pPr>
        <w:ind w:firstLine="480"/>
        <w:spacing w:line="500" w:lineRule="exact"/>
        <w:tabs>
          <w:tab w:val="left" w:pos="1980" w:leader="none"/>
          <w:tab w:val="left" w:pos="2014" w:leader="none"/>
        </w:tabs>
        <w:rPr>
          <w:rFonts w:hint="eastAsia"/>
        </w:rPr>
      </w:pPr>
      <w:r>
        <w:rPr>
          <w:rFonts w:hint="eastAsia"/>
        </w:rPr>
        <w:t xml:space="preserve">依据《绿色数据中心政府采购需求标准（试行）》（财办库〔2023〕7 号）文件精神，采购</w:t>
      </w:r>
      <w:r>
        <w:rPr>
          <w:rFonts w:hint="eastAsia"/>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spacing w:line="500" w:lineRule="exact"/>
        <w:tabs>
          <w:tab w:val="left" w:pos="1980" w:leader="none"/>
          <w:tab w:val="left" w:pos="2014" w:leader="none"/>
        </w:tabs>
        <w:rPr>
          <w:rFonts w:hint="eastAsia"/>
        </w:rPr>
      </w:pPr>
      <w:r>
        <w:t xml:space="preserve">40.2</w:t>
      </w:r>
      <w:r>
        <w:rPr>
          <w:rFonts w:hint="eastAsia"/>
        </w:rPr>
        <w:t xml:space="preserve"> 推广应用绿色建材</w:t>
      </w:r>
      <w:r/>
    </w:p>
    <w:p>
      <w:pPr>
        <w:ind w:firstLine="480"/>
        <w:spacing w:line="500" w:lineRule="exact"/>
        <w:tabs>
          <w:tab w:val="left" w:pos="1980" w:leader="none"/>
          <w:tab w:val="left" w:pos="2014" w:leader="none"/>
        </w:tabs>
        <w:rPr>
          <w:rFonts w:hint="eastAsia"/>
        </w:rPr>
      </w:pPr>
      <w:r>
        <w:rPr>
          <w:rFonts w:hint="eastAsia"/>
        </w:rPr>
        <w:t xml:space="preserve">采购人实施政府采购工程项目，要按照《常州市政府采购支持绿色建材促进建筑品质提升试点工作方案》（常财购</w:t>
      </w:r>
      <w:r>
        <w:t xml:space="preserve">〔20</w:t>
      </w:r>
      <w:r>
        <w:rPr>
          <w:rFonts w:hint="eastAsia"/>
        </w:rPr>
        <w:t xml:space="preserve">23</w:t>
      </w:r>
      <w:r>
        <w:t xml:space="preserve">〕</w:t>
      </w:r>
      <w:r>
        <w:rPr>
          <w:rFonts w:hint="eastAsia"/>
        </w:rPr>
        <w:t xml:space="preserve">18</w:t>
      </w:r>
      <w:r>
        <w:t xml:space="preserve"> 号</w:t>
      </w:r>
      <w:r>
        <w:rPr>
          <w:rFonts w:hint="eastAsia"/>
        </w:rPr>
        <w:t xml:space="preserve">）总体要求，落实《绿色建筑和绿色建材政府采购需求标准》（</w:t>
      </w:r>
      <w:r>
        <w:t xml:space="preserve">财库〔20</w:t>
      </w:r>
      <w:r>
        <w:rPr>
          <w:rFonts w:hint="eastAsia"/>
        </w:rPr>
        <w:t xml:space="preserve">22</w:t>
      </w:r>
      <w:r>
        <w:t xml:space="preserve">〕</w:t>
      </w:r>
      <w:r>
        <w:rPr>
          <w:rFonts w:hint="eastAsia"/>
        </w:rPr>
        <w:t xml:space="preserve">35</w:t>
      </w:r>
      <w:r>
        <w:t xml:space="preserve"> 号</w:t>
      </w:r>
      <w:r>
        <w:rPr>
          <w:rFonts w:hint="eastAsia"/>
        </w:rPr>
        <w:t xml:space="preserve">）和《政府采购支持绿色建材促进建筑品质提升政策项目实施指南》（财办库</w:t>
      </w:r>
      <w:r>
        <w:t xml:space="preserve">〔20</w:t>
      </w:r>
      <w:r>
        <w:rPr>
          <w:rFonts w:hint="eastAsia"/>
        </w:rPr>
        <w:t xml:space="preserve">23</w:t>
      </w:r>
      <w:r>
        <w:t xml:space="preserve">〕</w:t>
      </w:r>
      <w:r>
        <w:rPr>
          <w:rFonts w:hint="eastAsia"/>
        </w:rPr>
        <w:t xml:space="preserve">52</w:t>
      </w:r>
      <w:r>
        <w:t xml:space="preserve"> 号</w:t>
      </w:r>
      <w:r>
        <w:rPr>
          <w:rFonts w:hint="eastAsia"/>
        </w:rPr>
        <w:t xml:space="preserve">）,依据相关需求标准确定采购需求，在采购文件和采购合同中载明具体需求、履约验收条款和违约责任。</w:t>
      </w:r>
      <w:r/>
    </w:p>
    <w:p>
      <w:pPr>
        <w:ind w:firstLine="480"/>
        <w:spacing w:line="500" w:lineRule="exact"/>
        <w:tabs>
          <w:tab w:val="left" w:pos="1980" w:leader="none"/>
          <w:tab w:val="left" w:pos="2014" w:leader="none"/>
        </w:tabs>
        <w:rPr>
          <w:rFonts w:hint="eastAsia"/>
        </w:rPr>
      </w:pPr>
      <w:r>
        <w:t xml:space="preserve">40.3</w:t>
      </w:r>
      <w:r>
        <w:rPr>
          <w:rFonts w:hint="eastAsia"/>
        </w:rPr>
        <w:t xml:space="preserve"> 优先使用低挥发性有机化合物产品</w:t>
      </w:r>
      <w:r/>
    </w:p>
    <w:p>
      <w:pPr>
        <w:ind w:firstLine="480"/>
        <w:spacing w:line="500" w:lineRule="exact"/>
        <w:tabs>
          <w:tab w:val="left" w:pos="1980" w:leader="none"/>
          <w:tab w:val="left" w:pos="2014" w:leader="none"/>
        </w:tabs>
        <w:rPr>
          <w:rFonts w:hint="eastAsia"/>
        </w:rPr>
      </w:pPr>
      <w:r>
        <w:rPr>
          <w:rFonts w:hint="eastAsia"/>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bookmarkEnd w:id="333"/>
      <w:r/>
    </w:p>
    <w:p>
      <w:pPr>
        <w:ind w:firstLine="600"/>
        <w:keepLines/>
        <w:keepNext/>
        <w:spacing w:line="500" w:lineRule="exact"/>
        <w:rPr>
          <w:rFonts w:hint="eastAsia"/>
          <w:bCs/>
          <w:sz w:val="30"/>
          <w:szCs w:val="30"/>
        </w:rPr>
        <w:outlineLvl w:val="3"/>
      </w:pPr>
      <w:r>
        <w:rPr>
          <w:rFonts w:hint="eastAsia"/>
          <w:bCs/>
          <w:sz w:val="30"/>
          <w:szCs w:val="30"/>
        </w:rPr>
        <w:t xml:space="preserve">41、电子履约保函政策</w:t>
      </w:r>
      <w:r/>
    </w:p>
    <w:p>
      <w:pPr>
        <w:ind w:firstLine="480"/>
        <w:spacing w:line="360" w:lineRule="auto"/>
        <w:rPr>
          <w:rFonts w:hint="eastAsia"/>
        </w:rPr>
      </w:pPr>
      <w:r>
        <w:rPr>
          <w:rFonts w:hint="eastAsia"/>
        </w:rPr>
        <w:t xml:space="preserve">为进一步优化政府采购营商环境，规范我省政府采购履约保证金管理，持续降低供应商参与政府采购成本，根据国家发展改革委、工业和信息化部、财政部等《关于做好</w:t>
      </w:r>
      <w:r>
        <w:t xml:space="preserve">2024</w:t>
      </w:r>
      <w:r>
        <w:rPr>
          <w:rFonts w:hint="eastAsia"/>
        </w:rPr>
        <w:t xml:space="preserve">年降成本重点工作的通知》（发改运行〔2024〕645号）要求，决定在全省推行政府采购电子履约保函（保险）。政府采购履约保函（保险）是指在政府采购活动中第三方机构向采购人提</w:t>
      </w:r>
      <w:r>
        <w:rPr>
          <w:rFonts w:hint="eastAsia"/>
        </w:rPr>
        <w:t xml:space="preserve">供的保证政府采购中标、成交供应商履行合同义务的担保或保险。如中标、成交供应商未能按照政府采购合同要求规范履行合同义务，由第三方机构按照采购文件约定的履约保证金数额对采购人承担赔偿责任。具体要求详见《关于在全省政府采购领域推行电子履约保函（保险）的通知》（苏财购〔2024〕150号）。</w:t>
      </w:r>
      <w:r/>
    </w:p>
    <w:p>
      <w:pPr>
        <w:ind w:firstLine="600"/>
        <w:keepLines/>
        <w:keepNext/>
        <w:spacing w:line="500" w:lineRule="exact"/>
        <w:rPr>
          <w:rFonts w:hint="eastAsia"/>
          <w:bCs/>
          <w:sz w:val="30"/>
          <w:szCs w:val="30"/>
        </w:rPr>
        <w:outlineLvl w:val="3"/>
      </w:pPr>
      <w:r>
        <w:rPr>
          <w:rFonts w:hint="eastAsia"/>
          <w:bCs/>
          <w:sz w:val="30"/>
          <w:szCs w:val="30"/>
        </w:rPr>
        <w:t xml:space="preserve">42、政府采购中实施本国产品标准及相关政策</w:t>
      </w:r>
      <w:r/>
    </w:p>
    <w:p>
      <w:pPr>
        <w:ind w:firstLine="480"/>
        <w:spacing w:line="360" w:lineRule="auto"/>
        <w:tabs>
          <w:tab w:val="left" w:pos="1980" w:leader="none"/>
          <w:tab w:val="left" w:pos="2014" w:leader="none"/>
        </w:tabs>
        <w:rPr>
          <w:rFonts w:hint="eastAsia"/>
        </w:rPr>
      </w:pPr>
      <w:r>
        <w:rPr>
          <w:rFonts w:hint="eastAsia"/>
        </w:rPr>
        <w:t xml:space="preserve">政府采购活动中既有本国产品又有非本国产品参与竞争的，依法对本国产品给予价格评审优惠，对本国产品的报价给予20%的价格扣除，用扣除后的价格参与评审。供应商应在投标文件中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具体要求详见《国务院办公厅关于在政府采购中实施本国产品标准及相关政策的通知》（国办发〔2025〕34号）</w:t>
      </w:r>
      <w:r/>
    </w:p>
    <w:p>
      <w:pPr>
        <w:ind w:firstLine="420"/>
        <w:rPr>
          <w:rFonts w:hint="eastAsia"/>
          <w:szCs w:val="21"/>
        </w:rPr>
      </w:pPr>
      <w:r>
        <w:rPr>
          <w:rFonts w:hint="eastAsia"/>
          <w:szCs w:val="21"/>
        </w:rPr>
      </w:r>
      <w:r/>
    </w:p>
    <w:p>
      <w:pPr>
        <w:pStyle w:val="907"/>
        <w:rPr>
          <w:rFonts w:hint="eastAsia"/>
          <w:color w:val="auto"/>
        </w:rPr>
      </w:pPr>
      <w:r>
        <w:rPr>
          <w:rFonts w:hint="eastAsia"/>
          <w:color w:val="auto"/>
        </w:rPr>
      </w:r>
      <w:r/>
    </w:p>
    <w:p>
      <w:pPr>
        <w:pStyle w:val="907"/>
        <w:rPr>
          <w:rFonts w:hint="eastAsia"/>
          <w:color w:val="auto"/>
        </w:rPr>
      </w:pPr>
      <w:r>
        <w:rPr>
          <w:rFonts w:hint="eastAsia"/>
          <w:color w:val="auto"/>
        </w:rPr>
      </w:r>
      <w:r/>
    </w:p>
    <w:p>
      <w:pPr>
        <w:pStyle w:val="907"/>
        <w:rPr>
          <w:rFonts w:hint="eastAsia"/>
          <w:color w:val="auto"/>
        </w:rPr>
      </w:pPr>
      <w:r>
        <w:rPr>
          <w:rFonts w:hint="eastAsia"/>
          <w:color w:val="auto"/>
        </w:rPr>
      </w:r>
      <w:r/>
    </w:p>
    <w:p>
      <w:pPr>
        <w:pStyle w:val="907"/>
        <w:rPr>
          <w:rFonts w:hint="eastAsia"/>
          <w:color w:val="auto"/>
        </w:rPr>
      </w:pPr>
      <w:r>
        <w:rPr>
          <w:rFonts w:hint="eastAsia"/>
          <w:color w:val="auto"/>
        </w:rPr>
      </w:r>
      <w:r/>
    </w:p>
    <w:p>
      <w:pPr>
        <w:pStyle w:val="907"/>
        <w:rPr>
          <w:rFonts w:hint="eastAsia"/>
          <w:color w:val="auto"/>
        </w:rPr>
      </w:pPr>
      <w:r>
        <w:rPr>
          <w:rFonts w:hint="eastAsia"/>
          <w:color w:val="auto"/>
        </w:rPr>
      </w:r>
      <w:r/>
    </w:p>
    <w:p>
      <w:pPr>
        <w:pStyle w:val="907"/>
        <w:rPr>
          <w:rFonts w:hint="eastAsia"/>
          <w:color w:val="auto"/>
        </w:rPr>
      </w:pPr>
      <w:r>
        <w:rPr>
          <w:rFonts w:hint="eastAsia"/>
          <w:color w:val="auto"/>
        </w:rPr>
      </w:r>
      <w:r/>
    </w:p>
    <w:p>
      <w:pPr>
        <w:pStyle w:val="907"/>
        <w:rPr>
          <w:rFonts w:hint="eastAsia"/>
          <w:color w:val="auto"/>
        </w:rPr>
      </w:pPr>
      <w:r>
        <w:rPr>
          <w:rFonts w:hint="eastAsia"/>
          <w:color w:val="auto"/>
        </w:rPr>
      </w:r>
      <w:r/>
    </w:p>
    <w:p>
      <w:pPr>
        <w:pStyle w:val="907"/>
        <w:rPr>
          <w:rFonts w:hint="eastAsia"/>
          <w:color w:val="auto"/>
        </w:rPr>
      </w:pPr>
      <w:r>
        <w:rPr>
          <w:rFonts w:hint="eastAsia"/>
          <w:color w:val="auto"/>
        </w:rPr>
      </w:r>
      <w:r/>
    </w:p>
    <w:p>
      <w:pPr>
        <w:pStyle w:val="907"/>
        <w:rPr>
          <w:rFonts w:hint="eastAsia"/>
          <w:color w:val="auto"/>
        </w:rPr>
      </w:pPr>
      <w:r>
        <w:rPr>
          <w:rFonts w:hint="eastAsia"/>
          <w:color w:val="auto"/>
        </w:rPr>
      </w:r>
      <w:r/>
    </w:p>
    <w:p>
      <w:pPr>
        <w:pStyle w:val="907"/>
        <w:rPr>
          <w:rFonts w:hint="eastAsia"/>
          <w:color w:val="auto"/>
        </w:rPr>
      </w:pPr>
      <w:r>
        <w:rPr>
          <w:rFonts w:hint="eastAsia"/>
          <w:color w:val="auto"/>
        </w:rPr>
      </w:r>
      <w:r/>
    </w:p>
    <w:p>
      <w:pPr>
        <w:jc w:val="center"/>
        <w:spacing w:line="360" w:lineRule="auto"/>
        <w:rPr>
          <w:rFonts w:hint="eastAsia"/>
          <w:b/>
          <w:sz w:val="36"/>
          <w:szCs w:val="36"/>
        </w:rPr>
        <w:sectPr>
          <w:headerReference w:type="even" r:id="rId11"/>
          <w:footerReference w:type="default" r:id="rId18"/>
          <w:footnotePr/>
          <w:endnotePr/>
          <w:type w:val="nextPage"/>
          <w:pgSz w:w="11906" w:h="16838" w:orient="portrait"/>
          <w:pgMar w:top="1440" w:right="1080" w:bottom="1440" w:left="1080" w:header="851" w:footer="992" w:gutter="0"/>
          <w:cols w:num="1" w:sep="0" w:space="720" w:equalWidth="1"/>
          <w:docGrid w:linePitch="360"/>
        </w:sectPr>
        <w:outlineLvl w:val="0"/>
      </w:pPr>
      <w:r/>
      <w:bookmarkStart w:id="334" w:name="_Toc152683390"/>
      <w:r/>
      <w:bookmarkStart w:id="335" w:name="_Toc197636615"/>
      <w:r/>
      <w:r/>
    </w:p>
    <w:p>
      <w:pPr>
        <w:jc w:val="center"/>
        <w:spacing w:line="360" w:lineRule="auto"/>
        <w:rPr>
          <w:rFonts w:hint="eastAsia"/>
          <w:b/>
          <w:sz w:val="36"/>
          <w:szCs w:val="36"/>
        </w:rPr>
        <w:outlineLvl w:val="0"/>
      </w:pPr>
      <w:r>
        <w:rPr>
          <w:b/>
          <w:sz w:val="36"/>
          <w:szCs w:val="36"/>
        </w:rPr>
        <w:t xml:space="preserve">第三章  </w:t>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rPr>
          <w:b/>
          <w:sz w:val="36"/>
          <w:szCs w:val="36"/>
        </w:rPr>
        <w:t xml:space="preserve">资格审查</w:t>
      </w:r>
      <w:bookmarkStart w:id="336" w:name="_Toc487900382"/>
      <w:r/>
      <w:bookmarkEnd w:id="193"/>
      <w:r/>
      <w:bookmarkEnd w:id="334"/>
      <w:r/>
      <w:bookmarkEnd w:id="335"/>
      <w:r/>
      <w:r/>
    </w:p>
    <w:p>
      <w:pPr>
        <w:ind w:firstLine="2891"/>
        <w:spacing w:line="360" w:lineRule="auto"/>
        <w:tabs>
          <w:tab w:val="left" w:pos="360" w:leader="none"/>
          <w:tab w:val="left" w:pos="900" w:leader="none"/>
        </w:tabs>
        <w:rPr>
          <w:rFonts w:hint="eastAsia"/>
          <w:b/>
          <w:sz w:val="32"/>
          <w:szCs w:val="32"/>
        </w:rPr>
        <w:outlineLvl w:val="1"/>
      </w:pPr>
      <w:r/>
      <w:bookmarkStart w:id="337" w:name="_Toc99301422"/>
      <w:r/>
      <w:bookmarkStart w:id="338" w:name="_Toc152683032"/>
      <w:r/>
      <w:bookmarkStart w:id="339" w:name="_Toc152683391"/>
      <w:r/>
      <w:bookmarkStart w:id="340" w:name="_Toc152683551"/>
      <w:r/>
      <w:bookmarkStart w:id="341" w:name="_Toc197636565"/>
      <w:r/>
      <w:bookmarkStart w:id="342" w:name="_Toc197636616"/>
      <w:r>
        <w:rPr>
          <w:rFonts w:hint="eastAsia"/>
          <w:b/>
          <w:sz w:val="32"/>
          <w:szCs w:val="32"/>
        </w:rPr>
        <w:t xml:space="preserve">第一节 </w:t>
      </w:r>
      <w:r>
        <w:rPr>
          <w:b/>
          <w:sz w:val="32"/>
          <w:szCs w:val="32"/>
        </w:rPr>
        <w:t xml:space="preserve">资格审查程序</w:t>
      </w:r>
      <w:bookmarkEnd w:id="337"/>
      <w:r/>
      <w:bookmarkEnd w:id="338"/>
      <w:r/>
      <w:bookmarkEnd w:id="339"/>
      <w:r/>
      <w:bookmarkEnd w:id="340"/>
      <w:r/>
      <w:bookmarkEnd w:id="341"/>
      <w:r/>
      <w:bookmarkEnd w:id="342"/>
      <w:r/>
      <w:r/>
    </w:p>
    <w:p>
      <w:pPr>
        <w:ind w:firstLine="480"/>
        <w:spacing w:line="360" w:lineRule="auto"/>
        <w:tabs>
          <w:tab w:val="left" w:pos="426" w:leader="none"/>
          <w:tab w:val="left" w:pos="851" w:leader="none"/>
        </w:tabs>
        <w:rPr>
          <w:rFonts w:hint="eastAsia"/>
        </w:rPr>
        <w:outlineLvl w:val="1"/>
      </w:pPr>
      <w:r/>
      <w:bookmarkStart w:id="343" w:name="_Toc152683033"/>
      <w:r/>
      <w:bookmarkStart w:id="344" w:name="_Toc152683392"/>
      <w:r/>
      <w:bookmarkStart w:id="345" w:name="_Toc152683552"/>
      <w:r/>
      <w:bookmarkStart w:id="346" w:name="_Toc197636566"/>
      <w:r/>
      <w:bookmarkStart w:id="347" w:name="_Toc197636617"/>
      <w:r>
        <w:rPr>
          <w:rFonts w:cs="Symbol"/>
        </w:rPr>
        <w:t xml:space="preserve">一、</w:t>
      </w:r>
      <w:r>
        <w:t xml:space="preserve">开标结束后，采购人代表将根据《资格审查要求》中的规定，对投标人进行资格审查，并形成资格审查结果。</w:t>
      </w:r>
      <w:bookmarkEnd w:id="343"/>
      <w:r/>
      <w:bookmarkEnd w:id="344"/>
      <w:r/>
      <w:bookmarkEnd w:id="345"/>
      <w:r/>
      <w:bookmarkEnd w:id="346"/>
      <w:r/>
      <w:bookmarkEnd w:id="347"/>
      <w:r/>
      <w:r/>
    </w:p>
    <w:p>
      <w:pPr>
        <w:ind w:firstLine="480"/>
        <w:spacing w:line="360" w:lineRule="auto"/>
        <w:tabs>
          <w:tab w:val="left" w:pos="426" w:leader="none"/>
          <w:tab w:val="left" w:pos="851" w:leader="none"/>
        </w:tabs>
        <w:rPr>
          <w:rFonts w:hint="eastAsia"/>
        </w:rPr>
        <w:outlineLvl w:val="1"/>
      </w:pPr>
      <w:r/>
      <w:bookmarkStart w:id="348" w:name="_Toc152683034"/>
      <w:r/>
      <w:bookmarkStart w:id="349" w:name="_Toc152683393"/>
      <w:r/>
      <w:bookmarkStart w:id="350" w:name="_Toc152683553"/>
      <w:r/>
      <w:bookmarkStart w:id="351" w:name="_Toc197636567"/>
      <w:r/>
      <w:bookmarkStart w:id="352" w:name="_Toc197636618"/>
      <w:r>
        <w:rPr>
          <w:rFonts w:cs="Symbol"/>
        </w:rPr>
        <w:t xml:space="preserve">二、</w:t>
      </w:r>
      <w:r>
        <w:t xml:space="preserve">《资格审查要求》中对格式有要求的，除招标文件另有规定外，均为“实质性格式”文件。</w:t>
      </w:r>
      <w:bookmarkEnd w:id="348"/>
      <w:r/>
      <w:bookmarkEnd w:id="349"/>
      <w:r/>
      <w:bookmarkEnd w:id="350"/>
      <w:r/>
      <w:bookmarkEnd w:id="351"/>
      <w:r/>
      <w:bookmarkEnd w:id="352"/>
      <w:r/>
      <w:r/>
    </w:p>
    <w:p>
      <w:pPr>
        <w:ind w:firstLine="480"/>
        <w:spacing w:line="360" w:lineRule="auto"/>
        <w:tabs>
          <w:tab w:val="left" w:pos="426" w:leader="none"/>
          <w:tab w:val="left" w:pos="851" w:leader="none"/>
        </w:tabs>
        <w:rPr>
          <w:rFonts w:hint="eastAsia"/>
        </w:rPr>
        <w:outlineLvl w:val="1"/>
      </w:pPr>
      <w:r/>
      <w:bookmarkStart w:id="353" w:name="_Toc152683035"/>
      <w:r/>
      <w:bookmarkStart w:id="354" w:name="_Toc152683394"/>
      <w:r/>
      <w:bookmarkStart w:id="355" w:name="_Toc152683554"/>
      <w:r/>
      <w:bookmarkStart w:id="356" w:name="_Toc197636568"/>
      <w:r/>
      <w:bookmarkStart w:id="357" w:name="_Toc197636619"/>
      <w:r>
        <w:rPr>
          <w:rFonts w:cs="Symbol"/>
        </w:rPr>
        <w:t xml:space="preserve">三、</w:t>
      </w:r>
      <w:r>
        <w:t xml:space="preserve">投标人《资格证明文件》有任何一项不符合《资格审查要求》的，资格审查不合格，其投标无效。</w:t>
      </w:r>
      <w:bookmarkEnd w:id="353"/>
      <w:r/>
      <w:bookmarkEnd w:id="354"/>
      <w:r/>
      <w:bookmarkEnd w:id="355"/>
      <w:r/>
      <w:bookmarkEnd w:id="356"/>
      <w:r/>
      <w:bookmarkEnd w:id="357"/>
      <w:r/>
      <w:r/>
    </w:p>
    <w:p>
      <w:pPr>
        <w:ind w:firstLine="480"/>
        <w:spacing w:line="360" w:lineRule="auto"/>
        <w:tabs>
          <w:tab w:val="left" w:pos="426" w:leader="none"/>
          <w:tab w:val="left" w:pos="851" w:leader="none"/>
        </w:tabs>
        <w:rPr>
          <w:rFonts w:hint="eastAsia"/>
        </w:rPr>
        <w:outlineLvl w:val="1"/>
      </w:pPr>
      <w:r/>
      <w:bookmarkStart w:id="358" w:name="_Toc152683036"/>
      <w:r/>
      <w:bookmarkStart w:id="359" w:name="_Toc152683395"/>
      <w:r/>
      <w:bookmarkStart w:id="360" w:name="_Toc152683555"/>
      <w:r/>
      <w:bookmarkStart w:id="361" w:name="_Toc197636569"/>
      <w:r/>
      <w:bookmarkStart w:id="362" w:name="_Toc197636620"/>
      <w:r>
        <w:rPr>
          <w:rFonts w:cs="Symbol"/>
        </w:rPr>
        <w:t xml:space="preserve">四、</w:t>
      </w:r>
      <w:r>
        <w:t xml:space="preserve">资格审查合格的投标人不足3家的，不进行评标。</w:t>
      </w:r>
      <w:bookmarkEnd w:id="358"/>
      <w:r/>
      <w:bookmarkEnd w:id="359"/>
      <w:r/>
      <w:bookmarkEnd w:id="360"/>
      <w:r/>
      <w:bookmarkEnd w:id="361"/>
      <w:r/>
      <w:bookmarkEnd w:id="362"/>
      <w:r/>
      <w:r/>
    </w:p>
    <w:p>
      <w:pPr>
        <w:ind w:firstLine="2891"/>
        <w:spacing w:line="360" w:lineRule="auto"/>
        <w:tabs>
          <w:tab w:val="left" w:pos="360" w:leader="none"/>
          <w:tab w:val="left" w:pos="900" w:leader="none"/>
        </w:tabs>
        <w:rPr>
          <w:rFonts w:hint="eastAsia"/>
          <w:b/>
          <w:sz w:val="32"/>
          <w:szCs w:val="32"/>
        </w:rPr>
        <w:outlineLvl w:val="1"/>
      </w:pPr>
      <w:r/>
      <w:bookmarkStart w:id="363" w:name="_Toc152683037"/>
      <w:r/>
      <w:bookmarkStart w:id="364" w:name="_Toc152683396"/>
      <w:r/>
      <w:bookmarkStart w:id="365" w:name="_Toc152683556"/>
      <w:r/>
      <w:bookmarkStart w:id="366" w:name="_Toc197636570"/>
      <w:r/>
      <w:bookmarkStart w:id="367" w:name="_Toc197636621"/>
      <w:r>
        <w:rPr>
          <w:b/>
          <w:sz w:val="32"/>
          <w:szCs w:val="32"/>
        </w:rPr>
        <w:t xml:space="preserve">第二节</w:t>
      </w:r>
      <w:r>
        <w:rPr>
          <w:rFonts w:hint="eastAsia"/>
          <w:b/>
          <w:sz w:val="32"/>
          <w:szCs w:val="32"/>
        </w:rPr>
        <w:t xml:space="preserve"> </w:t>
      </w:r>
      <w:r>
        <w:rPr>
          <w:b/>
          <w:sz w:val="32"/>
          <w:szCs w:val="32"/>
        </w:rPr>
        <w:t xml:space="preserve">资格审查要求</w:t>
      </w:r>
      <w:bookmarkEnd w:id="363"/>
      <w:r/>
      <w:bookmarkEnd w:id="364"/>
      <w:r/>
      <w:bookmarkEnd w:id="365"/>
      <w:r/>
      <w:bookmarkEnd w:id="366"/>
      <w:r/>
      <w:bookmarkEnd w:id="367"/>
      <w:r/>
      <w:r/>
    </w:p>
    <w:tbl>
      <w:tblPr>
        <w:tblW w:w="5119"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firstRow="0" w:lastRow="0" w:firstColumn="0" w:lastColumn="0" w:noHBand="0" w:noVBand="0"/>
      </w:tblPr>
      <w:tblGrid>
        <w:gridCol w:w="885"/>
        <w:gridCol w:w="2077"/>
        <w:gridCol w:w="5056"/>
        <w:gridCol w:w="1950"/>
      </w:tblGrid>
      <w:tr>
        <w:trPr>
          <w:cantSplit/>
          <w:trHeight w:val="468"/>
          <w:tblHeader/>
        </w:trPr>
        <w:tc>
          <w:tcPr>
            <w:tcW w:w="444" w:type="pct"/>
            <w:vAlign w:val="center"/>
            <w:textDirection w:val="lrTb"/>
            <w:noWrap w:val="false"/>
          </w:tcPr>
          <w:p>
            <w:pPr>
              <w:jc w:val="center"/>
              <w:tabs>
                <w:tab w:val="left" w:pos="1080" w:leader="none"/>
              </w:tabs>
              <w:rPr>
                <w:rFonts w:hint="eastAsia"/>
                <w:b/>
              </w:rPr>
            </w:pPr>
            <w:r/>
            <w:bookmarkStart w:id="368" w:name="_Hlt487972895"/>
            <w:r/>
            <w:bookmarkEnd w:id="368"/>
            <w:r>
              <w:rPr>
                <w:b/>
              </w:rPr>
              <w:t xml:space="preserve">序号</w:t>
            </w:r>
            <w:r/>
          </w:p>
        </w:tc>
        <w:tc>
          <w:tcPr>
            <w:tcW w:w="1042" w:type="pct"/>
            <w:vAlign w:val="center"/>
            <w:textDirection w:val="lrTb"/>
            <w:noWrap w:val="false"/>
          </w:tcPr>
          <w:p>
            <w:pPr>
              <w:jc w:val="center"/>
              <w:tabs>
                <w:tab w:val="left" w:pos="1080" w:leader="none"/>
              </w:tabs>
              <w:rPr>
                <w:rFonts w:hint="eastAsia"/>
                <w:b/>
              </w:rPr>
            </w:pPr>
            <w:r>
              <w:rPr>
                <w:b/>
              </w:rPr>
              <w:t xml:space="preserve">审查因素</w:t>
            </w:r>
            <w:r/>
          </w:p>
        </w:tc>
        <w:tc>
          <w:tcPr>
            <w:tcW w:w="2536" w:type="pct"/>
            <w:vAlign w:val="center"/>
            <w:textDirection w:val="lrTb"/>
            <w:noWrap w:val="false"/>
          </w:tcPr>
          <w:p>
            <w:pPr>
              <w:jc w:val="center"/>
              <w:tabs>
                <w:tab w:val="left" w:pos="1080" w:leader="none"/>
              </w:tabs>
              <w:rPr>
                <w:rFonts w:hint="eastAsia"/>
                <w:b/>
              </w:rPr>
            </w:pPr>
            <w:r>
              <w:rPr>
                <w:b/>
              </w:rPr>
              <w:t xml:space="preserve">审查内容</w:t>
            </w:r>
            <w:r/>
          </w:p>
        </w:tc>
        <w:tc>
          <w:tcPr>
            <w:tcW w:w="978" w:type="pct"/>
            <w:vAlign w:val="center"/>
            <w:textDirection w:val="lrTb"/>
            <w:noWrap w:val="false"/>
          </w:tcPr>
          <w:p>
            <w:pPr>
              <w:jc w:val="center"/>
              <w:tabs>
                <w:tab w:val="left" w:pos="1080" w:leader="none"/>
              </w:tabs>
              <w:rPr>
                <w:rFonts w:hint="eastAsia"/>
                <w:b/>
              </w:rPr>
            </w:pPr>
            <w:r>
              <w:rPr>
                <w:b/>
              </w:rPr>
              <w:t xml:space="preserve">格式要求</w:t>
            </w:r>
            <w:r/>
          </w:p>
        </w:tc>
      </w:tr>
      <w:tr>
        <w:trPr>
          <w:cantSplit/>
          <w:trHeight w:val="468"/>
        </w:trPr>
        <w:tc>
          <w:tcPr>
            <w:tcW w:w="444" w:type="pct"/>
            <w:vAlign w:val="center"/>
            <w:textDirection w:val="lrTb"/>
            <w:noWrap w:val="false"/>
          </w:tcPr>
          <w:p>
            <w:pPr>
              <w:jc w:val="center"/>
              <w:tabs>
                <w:tab w:val="left" w:pos="1080" w:leader="none"/>
              </w:tabs>
              <w:rPr>
                <w:rFonts w:hint="eastAsia"/>
              </w:rPr>
            </w:pPr>
            <w:r>
              <w:t xml:space="preserve">1</w:t>
            </w:r>
            <w:r/>
          </w:p>
        </w:tc>
        <w:tc>
          <w:tcPr>
            <w:tcW w:w="1042" w:type="pct"/>
            <w:vAlign w:val="center"/>
            <w:textDirection w:val="lrTb"/>
            <w:noWrap w:val="false"/>
          </w:tcPr>
          <w:p>
            <w:pPr>
              <w:tabs>
                <w:tab w:val="left" w:pos="1080" w:leader="none"/>
              </w:tabs>
              <w:rPr>
                <w:rFonts w:hint="eastAsia"/>
              </w:rPr>
            </w:pPr>
            <w:r>
              <w:rPr>
                <w:rFonts w:hint="eastAsia"/>
              </w:rPr>
              <w:t xml:space="preserve"> </w:t>
            </w:r>
            <w:r>
              <w:rPr>
                <w:rFonts w:hint="eastAsia"/>
                <w:bCs/>
              </w:rPr>
              <w:t xml:space="preserve">营业执照副本（事业单位法人证书）</w:t>
            </w:r>
            <w:r/>
          </w:p>
        </w:tc>
        <w:tc>
          <w:tcPr>
            <w:tcW w:w="2536" w:type="pct"/>
            <w:vAlign w:val="center"/>
            <w:textDirection w:val="lrTb"/>
            <w:noWrap w:val="false"/>
          </w:tcPr>
          <w:p>
            <w:pPr>
              <w:tabs>
                <w:tab w:val="left" w:pos="1080" w:leader="none"/>
              </w:tabs>
              <w:rPr>
                <w:rFonts w:hint="eastAsia"/>
              </w:rPr>
            </w:pPr>
            <w:r>
              <w:rPr>
                <w:rFonts w:hint="eastAsia"/>
                <w:bCs/>
              </w:rPr>
              <w:t xml:space="preserve">营业执照副本和税务登记证副本(或“三证合一”的营业执照副本）或事业单位法人证书</w:t>
            </w:r>
            <w:r/>
          </w:p>
        </w:tc>
        <w:tc>
          <w:tcPr>
            <w:tcW w:w="978" w:type="pct"/>
            <w:vAlign w:val="center"/>
            <w:textDirection w:val="lrTb"/>
            <w:noWrap w:val="false"/>
          </w:tcPr>
          <w:p>
            <w:pPr>
              <w:ind w:firstLine="720"/>
              <w:tabs>
                <w:tab w:val="left" w:pos="1080" w:leader="none"/>
              </w:tabs>
              <w:rPr>
                <w:rFonts w:hint="eastAsia"/>
              </w:rPr>
            </w:pPr>
            <w:r>
              <w:rPr>
                <w:rFonts w:hint="eastAsia"/>
              </w:rPr>
              <w:t xml:space="preserve">/</w:t>
            </w:r>
            <w:r/>
          </w:p>
        </w:tc>
      </w:tr>
      <w:tr>
        <w:trPr>
          <w:cantSplit/>
          <w:trHeight w:val="468"/>
        </w:trPr>
        <w:tc>
          <w:tcPr>
            <w:tcW w:w="444" w:type="pct"/>
            <w:vAlign w:val="center"/>
            <w:textDirection w:val="lrTb"/>
            <w:noWrap w:val="false"/>
          </w:tcPr>
          <w:p>
            <w:pPr>
              <w:jc w:val="center"/>
              <w:tabs>
                <w:tab w:val="left" w:pos="1080" w:leader="none"/>
              </w:tabs>
              <w:rPr>
                <w:rFonts w:hint="eastAsia"/>
              </w:rPr>
            </w:pPr>
            <w:r>
              <w:rPr>
                <w:rFonts w:hint="eastAsia"/>
              </w:rPr>
              <w:t xml:space="preserve">2</w:t>
            </w:r>
            <w:r/>
          </w:p>
        </w:tc>
        <w:tc>
          <w:tcPr>
            <w:tcW w:w="1042" w:type="pct"/>
            <w:vAlign w:val="center"/>
            <w:textDirection w:val="lrTb"/>
            <w:noWrap w:val="false"/>
          </w:tcPr>
          <w:p>
            <w:pPr>
              <w:jc w:val="center"/>
              <w:tabs>
                <w:tab w:val="left" w:pos="1080" w:leader="none"/>
              </w:tabs>
              <w:rPr>
                <w:rFonts w:hint="eastAsia"/>
                <w:bCs/>
              </w:rPr>
            </w:pPr>
            <w:r>
              <w:rPr>
                <w:rFonts w:hint="eastAsia"/>
                <w:bCs/>
              </w:rPr>
              <w:t xml:space="preserve">法人授权书</w:t>
            </w:r>
            <w:r/>
          </w:p>
        </w:tc>
        <w:tc>
          <w:tcPr>
            <w:tcW w:w="2536" w:type="pct"/>
            <w:vAlign w:val="center"/>
            <w:textDirection w:val="lrTb"/>
            <w:noWrap w:val="false"/>
          </w:tcPr>
          <w:p>
            <w:pPr>
              <w:spacing w:line="360" w:lineRule="auto"/>
              <w:rPr>
                <w:rFonts w:hint="eastAsia"/>
                <w:bCs/>
              </w:rPr>
            </w:pPr>
            <w:r>
              <w:rPr>
                <w:rFonts w:hint="eastAsia"/>
                <w:bCs/>
              </w:rPr>
              <w:t xml:space="preserve">法人授权书、法定代表人身份证及被授权人身份证</w:t>
            </w:r>
            <w:r/>
          </w:p>
        </w:tc>
        <w:tc>
          <w:tcPr>
            <w:tcW w:w="978" w:type="pct"/>
            <w:vAlign w:val="center"/>
            <w:textDirection w:val="lrTb"/>
            <w:noWrap w:val="false"/>
          </w:tcPr>
          <w:p>
            <w:pPr>
              <w:tabs>
                <w:tab w:val="left" w:pos="1080" w:leader="none"/>
              </w:tabs>
              <w:rPr>
                <w:rFonts w:hint="eastAsia"/>
              </w:rPr>
            </w:pPr>
            <w:r>
              <w:t xml:space="preserve">格式见《投标文件格式》</w:t>
            </w:r>
            <w:r/>
          </w:p>
        </w:tc>
      </w:tr>
      <w:tr>
        <w:trPr>
          <w:cantSplit/>
          <w:trHeight w:val="468"/>
        </w:trPr>
        <w:tc>
          <w:tcPr>
            <w:tcW w:w="444" w:type="pct"/>
            <w:vAlign w:val="center"/>
            <w:textDirection w:val="lrTb"/>
            <w:noWrap w:val="false"/>
          </w:tcPr>
          <w:p>
            <w:pPr>
              <w:jc w:val="center"/>
              <w:tabs>
                <w:tab w:val="left" w:pos="1080" w:leader="none"/>
              </w:tabs>
              <w:rPr>
                <w:rFonts w:hint="eastAsia"/>
              </w:rPr>
            </w:pPr>
            <w:r>
              <w:rPr>
                <w:rFonts w:hint="eastAsia"/>
              </w:rPr>
              <w:t xml:space="preserve">3</w:t>
            </w:r>
            <w:r/>
          </w:p>
        </w:tc>
        <w:tc>
          <w:tcPr>
            <w:tcW w:w="1042" w:type="pct"/>
            <w:vAlign w:val="center"/>
            <w:textDirection w:val="lrTb"/>
            <w:noWrap w:val="false"/>
          </w:tcPr>
          <w:p>
            <w:pPr>
              <w:tabs>
                <w:tab w:val="left" w:pos="1080" w:leader="none"/>
              </w:tabs>
              <w:rPr>
                <w:rFonts w:hint="eastAsia"/>
              </w:rPr>
            </w:pPr>
            <w:r>
              <w:rPr>
                <w:rFonts w:hint="eastAsia"/>
              </w:rPr>
              <w:t xml:space="preserve">投标人资格声明</w:t>
            </w:r>
            <w:r/>
          </w:p>
        </w:tc>
        <w:tc>
          <w:tcPr>
            <w:tcW w:w="2536" w:type="pct"/>
            <w:vAlign w:val="center"/>
            <w:textDirection w:val="lrTb"/>
            <w:noWrap w:val="false"/>
          </w:tcPr>
          <w:p>
            <w:pPr>
              <w:spacing w:line="570" w:lineRule="exact"/>
              <w:rPr>
                <w:rFonts w:hint="eastAsia"/>
                <w:sz w:val="36"/>
                <w:szCs w:val="36"/>
              </w:rPr>
            </w:pPr>
            <w:r>
              <w:rPr>
                <w:bCs/>
              </w:rPr>
              <w:t xml:space="preserve">《</w:t>
            </w:r>
            <w:r>
              <w:rPr>
                <w:rFonts w:hint="eastAsia"/>
                <w:bCs/>
              </w:rPr>
              <w:t xml:space="preserve">资格承诺声明函</w:t>
            </w:r>
            <w:r>
              <w:rPr>
                <w:bCs/>
              </w:rPr>
              <w:t xml:space="preserve">》</w:t>
            </w:r>
            <w:r/>
          </w:p>
        </w:tc>
        <w:tc>
          <w:tcPr>
            <w:tcW w:w="978" w:type="pct"/>
            <w:vAlign w:val="center"/>
            <w:textDirection w:val="lrTb"/>
            <w:noWrap w:val="false"/>
          </w:tcPr>
          <w:p>
            <w:pPr>
              <w:tabs>
                <w:tab w:val="left" w:pos="1080" w:leader="none"/>
              </w:tabs>
              <w:rPr>
                <w:rFonts w:hint="eastAsia"/>
              </w:rPr>
            </w:pPr>
            <w:r>
              <w:t xml:space="preserve">格式见《投标文件格式》</w:t>
            </w:r>
            <w:r/>
          </w:p>
        </w:tc>
      </w:tr>
      <w:tr>
        <w:trPr>
          <w:cantSplit/>
          <w:trHeight w:val="468"/>
        </w:trPr>
        <w:tc>
          <w:tcPr>
            <w:tcW w:w="444" w:type="pct"/>
            <w:vAlign w:val="center"/>
            <w:textDirection w:val="lrTb"/>
            <w:noWrap w:val="false"/>
          </w:tcPr>
          <w:p>
            <w:pPr>
              <w:jc w:val="center"/>
              <w:tabs>
                <w:tab w:val="left" w:pos="1080" w:leader="none"/>
              </w:tabs>
              <w:rPr>
                <w:rFonts w:hint="eastAsia"/>
              </w:rPr>
            </w:pPr>
            <w:r>
              <w:rPr>
                <w:rFonts w:hint="eastAsia"/>
              </w:rPr>
              <w:t xml:space="preserve">4</w:t>
            </w:r>
            <w:r/>
          </w:p>
        </w:tc>
        <w:tc>
          <w:tcPr>
            <w:tcW w:w="1042" w:type="pct"/>
            <w:vAlign w:val="center"/>
            <w:textDirection w:val="lrTb"/>
            <w:noWrap w:val="false"/>
          </w:tcPr>
          <w:p>
            <w:pPr>
              <w:tabs>
                <w:tab w:val="left" w:pos="1080" w:leader="none"/>
              </w:tabs>
              <w:rPr>
                <w:rFonts w:hint="eastAsia"/>
              </w:rPr>
            </w:pPr>
            <w:r>
              <w:t xml:space="preserve">投标人信用记录</w:t>
            </w:r>
            <w:r/>
          </w:p>
        </w:tc>
        <w:tc>
          <w:tcPr>
            <w:tcW w:w="2536" w:type="pct"/>
            <w:vAlign w:val="center"/>
            <w:textDirection w:val="lrTb"/>
            <w:noWrap w:val="false"/>
          </w:tcPr>
          <w:p>
            <w:pPr>
              <w:tabs>
                <w:tab w:val="left" w:pos="1080" w:leader="none"/>
              </w:tabs>
              <w:rPr>
                <w:rFonts w:hint="eastAsia"/>
              </w:rPr>
            </w:pPr>
            <w:r>
              <w:rPr>
                <w:rFonts w:hint="eastAsia"/>
              </w:rPr>
              <w:t xml:space="preserve">1、</w:t>
            </w:r>
            <w:r>
              <w:t xml:space="preserve">查询渠道：信用中国网站和中国政府采购网（www.creditchina.gov.cn、www.ccgp.gov.cn）；</w:t>
            </w:r>
            <w:r/>
          </w:p>
          <w:p>
            <w:pPr>
              <w:tabs>
                <w:tab w:val="left" w:pos="900" w:leader="none"/>
                <w:tab w:val="left" w:pos="1980" w:leader="none"/>
              </w:tabs>
              <w:rPr>
                <w:rFonts w:hint="eastAsia"/>
              </w:rPr>
            </w:pPr>
            <w:r>
              <w:rPr>
                <w:rFonts w:hint="eastAsia"/>
              </w:rPr>
              <w:t xml:space="preserve">2、</w:t>
            </w:r>
            <w:r>
              <w:t xml:space="preserve">截止时点：投标截止时间以后、</w:t>
            </w:r>
            <w:r>
              <w:rPr>
                <w:rFonts w:hint="eastAsia"/>
              </w:rPr>
              <w:t xml:space="preserve">资格审查阶段采购人或</w:t>
            </w:r>
            <w:r>
              <w:t xml:space="preserve">采购代理机构的实际查询时间；</w:t>
            </w:r>
            <w:r/>
          </w:p>
          <w:p>
            <w:pPr>
              <w:tabs>
                <w:tab w:val="left" w:pos="900" w:leader="none"/>
                <w:tab w:val="left" w:pos="1980" w:leader="none"/>
              </w:tabs>
              <w:rPr>
                <w:rFonts w:hint="eastAsia"/>
              </w:rPr>
            </w:pPr>
            <w:r>
              <w:rPr>
                <w:rFonts w:hint="eastAsia"/>
              </w:rPr>
              <w:t xml:space="preserve">3、</w:t>
            </w:r>
            <w:r>
              <w:t xml:space="preserve">信用信息查询记录和证据留存具体方式：查询结果网页打印页作为查询记录和证据，与其他采购文件一并保存；</w:t>
            </w:r>
            <w:r/>
          </w:p>
          <w:p>
            <w:pPr>
              <w:tabs>
                <w:tab w:val="left" w:pos="1080" w:leader="none"/>
              </w:tabs>
              <w:rPr>
                <w:rFonts w:hint="eastAsia"/>
                <w:bCs/>
              </w:rPr>
            </w:pPr>
            <w:r>
              <w:rPr>
                <w:rFonts w:hint="eastAsia"/>
              </w:rPr>
              <w:t xml:space="preserve">4、</w:t>
            </w:r>
            <w:r>
              <w:t xml:space="preserve">信用信息的使用原则：经认定的被列入失信被执行人、</w:t>
            </w:r>
            <w:r>
              <w:t xml:space="preserve">重大税收违法失信主体名单</w:t>
            </w:r>
            <w:r>
              <w:t xml:space="preserve">、政府采购严重违法失信行为记录名单的投标人，其投标无效。联合体形式投标的，联合体成员存在不良信用记录，视同联合体存在不良信用记录。</w:t>
            </w:r>
            <w:r/>
          </w:p>
        </w:tc>
        <w:tc>
          <w:tcPr>
            <w:tcW w:w="978" w:type="pct"/>
            <w:vAlign w:val="center"/>
            <w:textDirection w:val="lrTb"/>
            <w:noWrap w:val="false"/>
          </w:tcPr>
          <w:p>
            <w:pPr>
              <w:tabs>
                <w:tab w:val="left" w:pos="1080" w:leader="none"/>
              </w:tabs>
              <w:rPr>
                <w:rFonts w:hint="eastAsia"/>
              </w:rPr>
            </w:pPr>
            <w:r>
              <w:t xml:space="preserve">无须投标人提供，由采购人查询。</w:t>
            </w:r>
            <w:r/>
          </w:p>
        </w:tc>
      </w:tr>
      <w:tr>
        <w:trPr>
          <w:cantSplit/>
          <w:trHeight w:val="468"/>
        </w:trPr>
        <w:tc>
          <w:tcPr>
            <w:tcW w:w="444" w:type="pct"/>
            <w:vAlign w:val="center"/>
            <w:textDirection w:val="lrTb"/>
            <w:noWrap w:val="false"/>
          </w:tcPr>
          <w:p>
            <w:pPr>
              <w:jc w:val="center"/>
              <w:tabs>
                <w:tab w:val="left" w:pos="1080" w:leader="none"/>
              </w:tabs>
              <w:rPr>
                <w:rFonts w:hint="eastAsia"/>
              </w:rPr>
            </w:pPr>
            <w:r>
              <w:rPr>
                <w:rFonts w:hint="eastAsia"/>
              </w:rPr>
              <w:t xml:space="preserve">5</w:t>
            </w:r>
            <w:r/>
          </w:p>
        </w:tc>
        <w:tc>
          <w:tcPr>
            <w:tcW w:w="1042" w:type="pct"/>
            <w:vAlign w:val="center"/>
            <w:textDirection w:val="lrTb"/>
            <w:noWrap w:val="false"/>
          </w:tcPr>
          <w:p>
            <w:pPr>
              <w:ind w:firstLine="240"/>
              <w:tabs>
                <w:tab w:val="left" w:pos="1080" w:leader="none"/>
              </w:tabs>
              <w:rPr>
                <w:rFonts w:hint="eastAsia"/>
              </w:rPr>
            </w:pPr>
            <w:r>
              <w:rPr>
                <w:rFonts w:hint="eastAsia"/>
              </w:rPr>
              <w:t xml:space="preserve">信用承诺</w:t>
            </w:r>
            <w:r/>
          </w:p>
        </w:tc>
        <w:tc>
          <w:tcPr>
            <w:tcW w:w="2536" w:type="pct"/>
            <w:vAlign w:val="center"/>
            <w:textDirection w:val="lrTb"/>
            <w:noWrap w:val="false"/>
          </w:tcPr>
          <w:p>
            <w:pPr>
              <w:tabs>
                <w:tab w:val="left" w:pos="1080" w:leader="none"/>
              </w:tabs>
              <w:rPr>
                <w:rFonts w:hint="eastAsia"/>
                <w:bCs/>
              </w:rPr>
            </w:pPr>
            <w:r>
              <w:rPr>
                <w:rFonts w:hint="eastAsia"/>
              </w:rPr>
              <w:t xml:space="preserve">《政府采购供应商信用承诺书》</w:t>
            </w:r>
            <w:r/>
          </w:p>
        </w:tc>
        <w:tc>
          <w:tcPr>
            <w:tcW w:w="978" w:type="pct"/>
            <w:vAlign w:val="center"/>
            <w:textDirection w:val="lrTb"/>
            <w:noWrap w:val="false"/>
          </w:tcPr>
          <w:p>
            <w:pPr>
              <w:tabs>
                <w:tab w:val="left" w:pos="1080" w:leader="none"/>
              </w:tabs>
              <w:rPr>
                <w:rFonts w:hint="eastAsia"/>
              </w:rPr>
            </w:pPr>
            <w:r>
              <w:t xml:space="preserve">格式见《投标文件格式》</w:t>
            </w:r>
            <w:r/>
          </w:p>
        </w:tc>
      </w:tr>
      <w:tr>
        <w:trPr>
          <w:cantSplit/>
          <w:trHeight w:val="468"/>
        </w:trPr>
        <w:tc>
          <w:tcPr>
            <w:tcW w:w="444" w:type="pct"/>
            <w:vAlign w:val="center"/>
            <w:textDirection w:val="lrTb"/>
            <w:noWrap w:val="false"/>
          </w:tcPr>
          <w:p>
            <w:pPr>
              <w:jc w:val="center"/>
              <w:tabs>
                <w:tab w:val="left" w:pos="1080" w:leader="none"/>
              </w:tabs>
              <w:rPr>
                <w:rFonts w:hint="eastAsia"/>
              </w:rPr>
            </w:pPr>
            <w:r>
              <w:rPr>
                <w:rFonts w:hint="eastAsia"/>
              </w:rPr>
              <w:t xml:space="preserve">6</w:t>
            </w:r>
            <w:r/>
          </w:p>
        </w:tc>
        <w:tc>
          <w:tcPr>
            <w:tcW w:w="1042" w:type="pct"/>
            <w:vAlign w:val="center"/>
            <w:textDirection w:val="lrTb"/>
            <w:noWrap w:val="false"/>
          </w:tcPr>
          <w:p>
            <w:pPr>
              <w:tabs>
                <w:tab w:val="left" w:pos="1080" w:leader="none"/>
              </w:tabs>
              <w:rPr>
                <w:rFonts w:hint="eastAsia"/>
              </w:rPr>
            </w:pPr>
            <w:r>
              <w:t xml:space="preserve">落实政府采购政策需满足的资格要求</w:t>
            </w:r>
            <w:r/>
          </w:p>
        </w:tc>
        <w:tc>
          <w:tcPr>
            <w:tcW w:w="2536" w:type="pct"/>
            <w:vAlign w:val="center"/>
            <w:textDirection w:val="lrTb"/>
            <w:noWrap w:val="false"/>
          </w:tcPr>
          <w:p>
            <w:pPr>
              <w:tabs>
                <w:tab w:val="left" w:pos="1080" w:leader="none"/>
              </w:tabs>
              <w:rPr>
                <w:rFonts w:hint="eastAsia"/>
              </w:rPr>
            </w:pPr>
            <w:r>
              <w:rPr>
                <w:rFonts w:hint="eastAsia"/>
              </w:rPr>
              <w:t xml:space="preserve">如采购公告中明确专门面向中小/小微企业采购，须按要求提供中小企业声明函；未专门面向中小/小微企业采购，此项无需提供。</w:t>
            </w:r>
            <w:r/>
          </w:p>
          <w:p>
            <w:pPr>
              <w:pStyle w:val="907"/>
              <w:rPr>
                <w:rFonts w:hint="eastAsia" w:ascii="宋体" w:hAnsi="宋体" w:cs="Times New Roman"/>
                <w:b/>
                <w:bCs/>
                <w:color w:val="auto"/>
              </w:rPr>
            </w:pPr>
            <w:r>
              <w:rPr>
                <w:rFonts w:hint="eastAsia" w:ascii="宋体" w:hAnsi="宋体" w:cs="Times New Roman"/>
                <w:b/>
                <w:bCs/>
                <w:color w:val="auto"/>
              </w:rPr>
              <w:t xml:space="preserve">注1</w:t>
            </w:r>
            <w:r>
              <w:rPr>
                <w:rFonts w:hint="eastAsia" w:ascii="宋体" w:hAnsi="宋体" w:cs="Times New Roman"/>
                <w:b/>
                <w:bCs/>
                <w:color w:val="auto"/>
              </w:rPr>
              <w:t xml:space="preserve">：监狱企业、残疾人福利性单位视同为中小企业。</w:t>
            </w:r>
            <w:r/>
          </w:p>
          <w:p>
            <w:pPr>
              <w:tabs>
                <w:tab w:val="left" w:pos="1080" w:leader="none"/>
              </w:tabs>
              <w:rPr>
                <w:rFonts w:hint="eastAsia"/>
                <w:b/>
                <w:bCs/>
              </w:rPr>
            </w:pPr>
            <w:r>
              <w:rPr>
                <w:rFonts w:hint="eastAsia"/>
                <w:b/>
                <w:bCs/>
              </w:rPr>
              <w:t xml:space="preserve">注2：</w:t>
            </w:r>
            <w:r>
              <w:rPr>
                <w:b/>
                <w:bCs/>
              </w:rPr>
              <w:t xml:space="preserve">监狱企业须提供由省级以上监狱管理局（常州市含教育矫治局）、戒毒管理局（含新疆生产建设兵团）出具的属于监狱企业的证明文件。</w:t>
            </w:r>
            <w:r/>
          </w:p>
          <w:p>
            <w:pPr>
              <w:pStyle w:val="907"/>
              <w:rPr>
                <w:rFonts w:hint="eastAsia" w:ascii="宋体" w:hAnsi="宋体"/>
                <w:color w:val="auto"/>
              </w:rPr>
            </w:pPr>
            <w:r>
              <w:rPr>
                <w:rFonts w:hint="eastAsia" w:ascii="宋体" w:hAnsi="宋体" w:cs="Times New Roman"/>
                <w:b/>
                <w:bCs/>
                <w:color w:val="auto"/>
              </w:rPr>
              <w:t xml:space="preserve">注3：</w:t>
            </w:r>
            <w:r>
              <w:rPr>
                <w:rFonts w:ascii="宋体" w:hAnsi="宋体" w:cs="Times New Roman"/>
                <w:b/>
                <w:bCs/>
                <w:color w:val="auto"/>
              </w:rPr>
              <w:t xml:space="preserve">残疾人福利性单位须按招标文件要求提供《残疾人福利性单位声明函》</w:t>
            </w:r>
            <w:r/>
          </w:p>
        </w:tc>
        <w:tc>
          <w:tcPr>
            <w:tcW w:w="978" w:type="pct"/>
            <w:vAlign w:val="center"/>
            <w:textDirection w:val="lrTb"/>
            <w:noWrap w:val="false"/>
          </w:tcPr>
          <w:p>
            <w:pPr>
              <w:tabs>
                <w:tab w:val="left" w:pos="1080" w:leader="none"/>
              </w:tabs>
              <w:rPr>
                <w:rFonts w:hint="eastAsia"/>
              </w:rPr>
            </w:pPr>
            <w:r>
              <w:rPr>
                <w:rFonts w:hint="eastAsia"/>
              </w:rPr>
              <w:t xml:space="preserve">《中小企业声明函》、</w:t>
            </w:r>
            <w:r>
              <w:t xml:space="preserve">《残疾人福利性单位声明函》格式见《投标文件格式》</w:t>
            </w:r>
            <w:r/>
          </w:p>
        </w:tc>
      </w:tr>
      <w:tr>
        <w:trPr>
          <w:cantSplit/>
          <w:trHeight w:val="468"/>
        </w:trPr>
        <w:tc>
          <w:tcPr>
            <w:tcW w:w="444" w:type="pct"/>
            <w:vAlign w:val="center"/>
            <w:textDirection w:val="lrTb"/>
            <w:noWrap w:val="false"/>
          </w:tcPr>
          <w:p>
            <w:pPr>
              <w:jc w:val="center"/>
              <w:tabs>
                <w:tab w:val="left" w:pos="1080" w:leader="none"/>
              </w:tabs>
              <w:rPr>
                <w:rFonts w:hint="eastAsia"/>
                <w:b/>
              </w:rPr>
            </w:pPr>
            <w:r>
              <w:rPr>
                <w:rFonts w:hint="eastAsia"/>
                <w:b/>
              </w:rPr>
              <w:t xml:space="preserve">7</w:t>
            </w:r>
            <w:r/>
          </w:p>
        </w:tc>
        <w:tc>
          <w:tcPr>
            <w:tcW w:w="1042" w:type="pct"/>
            <w:vAlign w:val="center"/>
            <w:textDirection w:val="lrTb"/>
            <w:noWrap w:val="false"/>
          </w:tcPr>
          <w:p>
            <w:pPr>
              <w:tabs>
                <w:tab w:val="left" w:pos="1080" w:leader="none"/>
              </w:tabs>
              <w:rPr>
                <w:rFonts w:hint="eastAsia"/>
                <w:b/>
              </w:rPr>
            </w:pPr>
            <w:r>
              <w:rPr>
                <w:b/>
              </w:rPr>
              <w:t xml:space="preserve">本项目的特定资格要求</w:t>
            </w:r>
            <w:r/>
          </w:p>
        </w:tc>
        <w:tc>
          <w:tcPr>
            <w:tcW w:w="2536" w:type="pct"/>
            <w:vAlign w:val="center"/>
            <w:textDirection w:val="lrTb"/>
            <w:noWrap w:val="false"/>
          </w:tcPr>
          <w:p>
            <w:pPr>
              <w:spacing w:line="360" w:lineRule="auto"/>
              <w:rPr>
                <w:rFonts w:hint="eastAsia"/>
                <w:b/>
                <w:bCs/>
              </w:rPr>
            </w:pPr>
            <w:r>
              <w:rPr>
                <w:rFonts w:hint="eastAsia"/>
                <w:b/>
                <w:bCs/>
              </w:rPr>
              <w:t xml:space="preserve">无</w:t>
            </w:r>
            <w:r/>
          </w:p>
        </w:tc>
        <w:tc>
          <w:tcPr>
            <w:tcW w:w="978" w:type="pct"/>
            <w:vAlign w:val="center"/>
            <w:textDirection w:val="lrTb"/>
            <w:noWrap w:val="false"/>
          </w:tcPr>
          <w:p>
            <w:pPr>
              <w:tabs>
                <w:tab w:val="left" w:pos="1080" w:leader="none"/>
              </w:tabs>
              <w:rPr>
                <w:rFonts w:hint="eastAsia"/>
              </w:rPr>
            </w:pPr>
            <w:r>
              <w:rPr>
                <w:rFonts w:hint="eastAsia"/>
              </w:rPr>
            </w:r>
            <w:r/>
          </w:p>
        </w:tc>
      </w:tr>
      <w:tr>
        <w:trPr>
          <w:cantSplit/>
          <w:trHeight w:val="4548"/>
        </w:trPr>
        <w:tc>
          <w:tcPr>
            <w:tcW w:w="444" w:type="pct"/>
            <w:vAlign w:val="center"/>
            <w:textDirection w:val="lrTb"/>
            <w:noWrap w:val="false"/>
          </w:tcPr>
          <w:p>
            <w:pPr>
              <w:jc w:val="center"/>
              <w:tabs>
                <w:tab w:val="left" w:pos="1080" w:leader="none"/>
              </w:tabs>
              <w:rPr>
                <w:rFonts w:hint="eastAsia"/>
              </w:rPr>
            </w:pPr>
            <w:r>
              <w:rPr>
                <w:rFonts w:hint="eastAsia"/>
              </w:rPr>
              <w:t xml:space="preserve">8</w:t>
            </w:r>
            <w:r/>
          </w:p>
        </w:tc>
        <w:tc>
          <w:tcPr>
            <w:tcW w:w="1042" w:type="pct"/>
            <w:vAlign w:val="center"/>
            <w:textDirection w:val="lrTb"/>
            <w:noWrap w:val="false"/>
          </w:tcPr>
          <w:p>
            <w:pPr>
              <w:tabs>
                <w:tab w:val="left" w:pos="1080" w:leader="none"/>
              </w:tabs>
              <w:rPr>
                <w:rFonts w:hint="eastAsia"/>
              </w:rPr>
            </w:pPr>
            <w:r>
              <w:t xml:space="preserve">联合体</w:t>
            </w:r>
            <w:r>
              <w:rPr>
                <w:rFonts w:hint="eastAsia"/>
              </w:rPr>
              <w:t xml:space="preserve">协议（如有）</w:t>
            </w:r>
            <w:r/>
          </w:p>
        </w:tc>
        <w:tc>
          <w:tcPr>
            <w:tcW w:w="2536" w:type="pct"/>
            <w:vAlign w:val="center"/>
            <w:textDirection w:val="lrTb"/>
            <w:noWrap w:val="false"/>
          </w:tcPr>
          <w:p>
            <w:pPr>
              <w:tabs>
                <w:tab w:val="left" w:pos="1080" w:leader="none"/>
              </w:tabs>
              <w:rPr>
                <w:rFonts w:hint="eastAsia"/>
              </w:rPr>
            </w:pPr>
            <w:r>
              <w:t xml:space="preserve">1、如本项目接受联合体投标，且投标人为联合体时必须提供《联合协议》，明确各方拟承担的工作和责任，并指定联合体牵头人，授权其代表所有联合体成员负责本项目投标和合同实施阶段的</w:t>
            </w:r>
            <w:r>
              <w:rPr>
                <w:rFonts w:hint="eastAsia"/>
              </w:rPr>
              <w:t xml:space="preserve">牵头</w:t>
            </w:r>
            <w:r>
              <w:t xml:space="preserve">、协调工作。该联合协议应当作为投标文件的组成部分，与投标文件其他内容同时递交。</w:t>
            </w:r>
            <w:r/>
          </w:p>
          <w:p>
            <w:pPr>
              <w:tabs>
                <w:tab w:val="left" w:pos="1080" w:leader="none"/>
              </w:tabs>
              <w:rPr>
                <w:rFonts w:hint="eastAsia"/>
              </w:rPr>
            </w:pPr>
            <w:r>
              <w:t xml:space="preserve">2、</w:t>
            </w:r>
            <w:r>
              <w:rPr>
                <w:rFonts w:hint="eastAsia"/>
              </w:rPr>
              <w:t xml:space="preserve">联合体各成员单位均须提供本表中序号第</w:t>
            </w:r>
            <w:r>
              <w:t xml:space="preserve">1</w:t>
            </w:r>
            <w:r>
              <w:rPr>
                <w:rFonts w:hint="eastAsia"/>
              </w:rPr>
              <w:t xml:space="preserve">、3、5、6项的证明文件。</w:t>
            </w:r>
            <w:r/>
          </w:p>
          <w:p>
            <w:pPr>
              <w:tabs>
                <w:tab w:val="left" w:pos="1080" w:leader="none"/>
              </w:tabs>
              <w:rPr>
                <w:rFonts w:hint="eastAsia"/>
              </w:rPr>
            </w:pPr>
            <w:r>
              <w:rPr>
                <w:rFonts w:hint="eastAsia"/>
              </w:rPr>
              <w:t xml:space="preserve">3、本表序号第</w:t>
            </w:r>
            <w:r>
              <w:t xml:space="preserve">7</w:t>
            </w:r>
            <w:r>
              <w:rPr>
                <w:rFonts w:hint="eastAsia"/>
              </w:rPr>
              <w:t xml:space="preserve">项规定的其他特定资格要求中的每一小项要求，联合体各方中至少应当有一方符合本表中其他资格要求并提供证明文件。</w:t>
            </w:r>
            <w:r/>
          </w:p>
          <w:p>
            <w:pPr>
              <w:tabs>
                <w:tab w:val="left" w:pos="1080" w:leader="none"/>
              </w:tabs>
              <w:rPr>
                <w:rFonts w:hint="eastAsia"/>
              </w:rPr>
            </w:pPr>
            <w:r>
              <w:rPr>
                <w:rFonts w:hint="eastAsia"/>
              </w:rPr>
              <w:t xml:space="preserve">4</w:t>
            </w:r>
            <w:r>
              <w:t xml:space="preserve">、联合体中有同类资质的供应商按照联合体分工承担相同工作的，应当按照资质等级较低的供应商确定资质等级。</w:t>
            </w:r>
            <w:r/>
          </w:p>
          <w:p>
            <w:pPr>
              <w:tabs>
                <w:tab w:val="left" w:pos="1080" w:leader="none"/>
              </w:tabs>
              <w:rPr>
                <w:rFonts w:hint="eastAsia"/>
              </w:rPr>
            </w:pPr>
            <w:r>
              <w:t xml:space="preserve">5、以联合体形式参加政府采购活动的，联合体各方不得再单独参加或者与其他供应商另外组成联合体参加同一合同项下的政府采购活动。</w:t>
            </w:r>
            <w:r/>
          </w:p>
          <w:p>
            <w:pPr>
              <w:tabs>
                <w:tab w:val="left" w:pos="1080" w:leader="none"/>
              </w:tabs>
              <w:rPr>
                <w:rFonts w:hint="eastAsia"/>
              </w:rPr>
            </w:pPr>
            <w:r>
              <w:t xml:space="preserve">6、若联合体中任一成员单位中途退出，则该联合体的投标无效。</w:t>
            </w:r>
            <w:r/>
          </w:p>
          <w:p>
            <w:pPr>
              <w:tabs>
                <w:tab w:val="left" w:pos="1080" w:leader="none"/>
              </w:tabs>
              <w:rPr>
                <w:rFonts w:hint="eastAsia"/>
              </w:rPr>
            </w:pPr>
            <w:r>
              <w:t xml:space="preserve">7、本项目不接受联合体投标</w:t>
            </w:r>
            <w:r>
              <w:rPr>
                <w:rFonts w:hint="eastAsia"/>
              </w:rPr>
              <w:t xml:space="preserve">时</w:t>
            </w:r>
            <w:r>
              <w:t xml:space="preserve">，</w:t>
            </w:r>
            <w:r>
              <w:rPr>
                <w:rFonts w:hint="eastAsia"/>
              </w:rPr>
              <w:t xml:space="preserve">投标人不得为联合体</w:t>
            </w:r>
            <w:r>
              <w:t xml:space="preserve">。</w:t>
            </w:r>
            <w:r/>
          </w:p>
        </w:tc>
        <w:tc>
          <w:tcPr>
            <w:tcW w:w="978" w:type="pct"/>
            <w:vAlign w:val="center"/>
            <w:textDirection w:val="lrTb"/>
            <w:noWrap w:val="false"/>
          </w:tcPr>
          <w:p>
            <w:pPr>
              <w:tabs>
                <w:tab w:val="left" w:pos="1080" w:leader="none"/>
              </w:tabs>
              <w:rPr>
                <w:rFonts w:hint="eastAsia"/>
              </w:rPr>
            </w:pPr>
            <w:r>
              <w:t xml:space="preserve">格式见《投标文件格式》 </w:t>
            </w:r>
            <w:r/>
          </w:p>
        </w:tc>
      </w:tr>
    </w:tbl>
    <w:p>
      <w:pPr>
        <w:rPr>
          <w:rFonts w:hint="eastAsia"/>
        </w:rPr>
      </w:pPr>
      <w:r/>
      <w:bookmarkStart w:id="369" w:name="_Toc127151779"/>
      <w:r/>
      <w:bookmarkStart w:id="370" w:name="_Toc353825550"/>
      <w:r/>
      <w:bookmarkStart w:id="371" w:name="_Toc353873940"/>
      <w:r/>
      <w:bookmarkStart w:id="372" w:name="_Toc127161490"/>
      <w:r/>
      <w:bookmarkStart w:id="373" w:name="_Toc226965858"/>
      <w:r/>
      <w:bookmarkEnd w:id="336"/>
      <w:r>
        <w:br w:type="page" w:clear="all"/>
      </w:r>
      <w:r/>
    </w:p>
    <w:p>
      <w:pPr>
        <w:jc w:val="center"/>
        <w:spacing w:line="360" w:lineRule="auto"/>
        <w:rPr>
          <w:rFonts w:hint="eastAsia"/>
          <w:b/>
          <w:sz w:val="36"/>
          <w:szCs w:val="36"/>
        </w:rPr>
        <w:outlineLvl w:val="0"/>
      </w:pPr>
      <w:r/>
      <w:bookmarkStart w:id="374" w:name="_Toc99301423"/>
      <w:r/>
      <w:bookmarkStart w:id="375" w:name="_Toc152683397"/>
      <w:r/>
      <w:bookmarkStart w:id="376" w:name="_Toc197636622"/>
      <w:r>
        <w:rPr>
          <w:b/>
          <w:sz w:val="36"/>
          <w:szCs w:val="36"/>
        </w:rPr>
        <w:t xml:space="preserve">第四章   </w:t>
      </w:r>
      <w:bookmarkStart w:id="377" w:name="_Hlt164229061"/>
      <w:r/>
      <w:bookmarkEnd w:id="369"/>
      <w:r/>
      <w:bookmarkEnd w:id="370"/>
      <w:r/>
      <w:bookmarkEnd w:id="371"/>
      <w:r/>
      <w:bookmarkEnd w:id="372"/>
      <w:r/>
      <w:bookmarkEnd w:id="373"/>
      <w:r/>
      <w:bookmarkEnd w:id="377"/>
      <w:r>
        <w:rPr>
          <w:b/>
          <w:sz w:val="36"/>
          <w:szCs w:val="36"/>
        </w:rPr>
        <w:t xml:space="preserve">评标程序、评标方法和评标标准</w:t>
      </w:r>
      <w:bookmarkEnd w:id="374"/>
      <w:r/>
      <w:bookmarkEnd w:id="375"/>
      <w:r/>
      <w:bookmarkEnd w:id="376"/>
      <w:r/>
      <w:r/>
    </w:p>
    <w:p>
      <w:pPr>
        <w:ind w:firstLine="2570"/>
        <w:spacing w:line="360" w:lineRule="auto"/>
        <w:tabs>
          <w:tab w:val="left" w:pos="360" w:leader="none"/>
          <w:tab w:val="left" w:pos="900" w:leader="none"/>
        </w:tabs>
        <w:rPr>
          <w:rFonts w:hint="eastAsia"/>
          <w:b/>
          <w:sz w:val="32"/>
          <w:szCs w:val="32"/>
        </w:rPr>
        <w:outlineLvl w:val="1"/>
      </w:pPr>
      <w:r/>
      <w:bookmarkStart w:id="378" w:name="_Toc152683039"/>
      <w:r/>
      <w:bookmarkStart w:id="379" w:name="_Toc152683398"/>
      <w:r/>
      <w:bookmarkStart w:id="380" w:name="_Toc152683558"/>
      <w:r/>
      <w:bookmarkStart w:id="381" w:name="_Toc197636572"/>
      <w:r/>
      <w:bookmarkStart w:id="382" w:name="_Toc197636623"/>
      <w:r>
        <w:rPr>
          <w:rFonts w:hint="eastAsia"/>
          <w:b/>
          <w:sz w:val="32"/>
          <w:szCs w:val="32"/>
        </w:rPr>
        <w:t xml:space="preserve">第一节 符合性审查程序</w:t>
      </w:r>
      <w:bookmarkEnd w:id="378"/>
      <w:r/>
      <w:bookmarkEnd w:id="379"/>
      <w:r/>
      <w:bookmarkEnd w:id="380"/>
      <w:r/>
      <w:bookmarkEnd w:id="381"/>
      <w:r/>
      <w:bookmarkEnd w:id="382"/>
      <w:r/>
      <w:r/>
    </w:p>
    <w:p>
      <w:pPr>
        <w:ind w:firstLine="480"/>
        <w:spacing w:line="360" w:lineRule="auto"/>
        <w:tabs>
          <w:tab w:val="left" w:pos="360" w:leader="none"/>
        </w:tabs>
        <w:rPr>
          <w:rFonts w:hint="eastAsia"/>
        </w:rPr>
        <w:outlineLvl w:val="1"/>
      </w:pPr>
      <w:r/>
      <w:bookmarkStart w:id="383" w:name="_Toc152683040"/>
      <w:r/>
      <w:bookmarkStart w:id="384" w:name="_Toc152683399"/>
      <w:r/>
      <w:bookmarkStart w:id="385" w:name="_Toc152683559"/>
      <w:r/>
      <w:bookmarkStart w:id="386" w:name="_Toc197636573"/>
      <w:r/>
      <w:bookmarkStart w:id="387" w:name="_Toc197636624"/>
      <w:r/>
      <w:bookmarkStart w:id="388" w:name="_Toc353825551"/>
      <w:r/>
      <w:bookmarkStart w:id="389" w:name="_Toc353873941"/>
      <w:r>
        <w:rPr>
          <w:rFonts w:cs="Symbol"/>
        </w:rPr>
        <w:t xml:space="preserve">一、</w:t>
      </w:r>
      <w:r>
        <w:t xml:space="preserve">评标委员会对资格审查合格的投标人的投标文件进行符合性审查，以确定其是否满足招标文件的实质性要求。</w:t>
      </w:r>
      <w:bookmarkStart w:id="390" w:name="_Toc520356167"/>
      <w:r/>
      <w:bookmarkEnd w:id="383"/>
      <w:r/>
      <w:bookmarkEnd w:id="384"/>
      <w:r/>
      <w:bookmarkEnd w:id="385"/>
      <w:r/>
      <w:bookmarkEnd w:id="386"/>
      <w:r/>
      <w:bookmarkEnd w:id="387"/>
      <w:r/>
      <w:r/>
    </w:p>
    <w:p>
      <w:pPr>
        <w:ind w:firstLine="480"/>
        <w:spacing w:line="360" w:lineRule="auto"/>
        <w:tabs>
          <w:tab w:val="left" w:pos="1080" w:leader="none"/>
        </w:tabs>
        <w:rPr>
          <w:rFonts w:hint="eastAsia"/>
        </w:rPr>
      </w:pPr>
      <w:r>
        <w:rPr>
          <w:rFonts w:cs="Symbol"/>
        </w:rPr>
        <w:t xml:space="preserve">二、</w:t>
      </w:r>
      <w:r>
        <w:t xml:space="preserve">评标委员会根据《符合性审查</w:t>
      </w:r>
      <w:r>
        <w:rPr>
          <w:rFonts w:hint="eastAsia"/>
        </w:rPr>
        <w:t xml:space="preserve">要求</w:t>
      </w:r>
      <w:r>
        <w:t xml:space="preserve">》中规定的审查因素和审查内容，对投标人的投标文件是否实质上响应招标文件进行符合性审查，并形成符合性审查评审结果。</w:t>
      </w:r>
      <w:r>
        <w:rPr>
          <w:rFonts w:hint="eastAsia"/>
        </w:rPr>
        <w:t xml:space="preserve">投标文件不符合《</w:t>
      </w:r>
      <w:r>
        <w:t xml:space="preserve">符合性审查</w:t>
      </w:r>
      <w:r>
        <w:rPr>
          <w:rFonts w:hint="eastAsia"/>
        </w:rPr>
        <w:t xml:space="preserve">要求》</w:t>
      </w:r>
      <w:bookmarkEnd w:id="390"/>
      <w:r>
        <w:rPr>
          <w:rFonts w:hint="eastAsia"/>
        </w:rPr>
        <w:t xml:space="preserve">的，投标无效。</w:t>
      </w:r>
      <w:r/>
    </w:p>
    <w:p>
      <w:pPr>
        <w:pStyle w:val="907"/>
        <w:rPr>
          <w:rFonts w:hint="eastAsia" w:ascii="宋体" w:hAnsi="宋体"/>
          <w:color w:val="auto"/>
        </w:rPr>
      </w:pPr>
      <w:r>
        <w:rPr>
          <w:rFonts w:hint="eastAsia" w:ascii="宋体" w:hAnsi="宋体"/>
          <w:color w:val="auto"/>
        </w:rPr>
      </w:r>
      <w:r/>
    </w:p>
    <w:p>
      <w:pPr>
        <w:ind w:firstLine="2249"/>
        <w:spacing w:line="360" w:lineRule="auto"/>
        <w:tabs>
          <w:tab w:val="left" w:pos="900" w:leader="none"/>
          <w:tab w:val="left" w:pos="1080" w:leader="none"/>
          <w:tab w:val="left" w:pos="1589" w:leader="none"/>
        </w:tabs>
        <w:rPr>
          <w:rFonts w:hint="eastAsia"/>
          <w:b/>
          <w:sz w:val="32"/>
          <w:szCs w:val="32"/>
        </w:rPr>
      </w:pPr>
      <w:r>
        <w:rPr>
          <w:b/>
          <w:sz w:val="32"/>
          <w:szCs w:val="32"/>
        </w:rPr>
        <w:t xml:space="preserve">第二节</w:t>
      </w:r>
      <w:r>
        <w:rPr>
          <w:rFonts w:hint="eastAsia"/>
          <w:b/>
          <w:sz w:val="32"/>
          <w:szCs w:val="32"/>
        </w:rPr>
        <w:t xml:space="preserve"> </w:t>
      </w:r>
      <w:r>
        <w:rPr>
          <w:b/>
          <w:sz w:val="32"/>
          <w:szCs w:val="32"/>
        </w:rPr>
        <w:t xml:space="preserve">符合性审查及评审</w:t>
      </w:r>
      <w:r>
        <w:rPr>
          <w:rFonts w:hint="eastAsia"/>
          <w:b/>
          <w:sz w:val="32"/>
          <w:szCs w:val="32"/>
        </w:rPr>
        <w:t xml:space="preserve">要求</w:t>
      </w:r>
      <w:r/>
    </w:p>
    <w:p>
      <w:pPr>
        <w:pStyle w:val="907"/>
        <w:ind w:firstLine="602"/>
        <w:rPr>
          <w:rFonts w:hint="eastAsia" w:ascii="宋体" w:hAnsi="宋体"/>
          <w:color w:val="auto"/>
        </w:rPr>
      </w:pPr>
      <w:r>
        <w:rPr>
          <w:rFonts w:ascii="宋体" w:hAnsi="宋体"/>
          <w:b/>
          <w:color w:val="auto"/>
          <w:sz w:val="30"/>
          <w:szCs w:val="30"/>
        </w:rPr>
        <w:t xml:space="preserve">一、符合性审查要求</w:t>
      </w:r>
      <w:r/>
    </w:p>
    <w:tbl>
      <w:tblPr>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938"/>
        <w:gridCol w:w="1842"/>
        <w:gridCol w:w="5154"/>
        <w:gridCol w:w="1794"/>
      </w:tblGrid>
      <w:tr>
        <w:trPr>
          <w:jc w:val="center"/>
          <w:trHeight w:val="300"/>
        </w:trPr>
        <w:tc>
          <w:tcPr>
            <w:tcW w:w="482" w:type="pct"/>
            <w:vAlign w:val="center"/>
            <w:textDirection w:val="lrTb"/>
            <w:noWrap w:val="false"/>
          </w:tcPr>
          <w:p>
            <w:pPr>
              <w:jc w:val="center"/>
              <w:rPr>
                <w:rFonts w:hint="eastAsia"/>
                <w:b/>
              </w:rPr>
            </w:pPr>
            <w:r>
              <w:rPr>
                <w:b/>
              </w:rPr>
              <w:t xml:space="preserve">序号</w:t>
            </w:r>
            <w:r/>
          </w:p>
        </w:tc>
        <w:tc>
          <w:tcPr>
            <w:tcW w:w="947" w:type="pct"/>
            <w:vAlign w:val="center"/>
            <w:textDirection w:val="lrTb"/>
            <w:noWrap w:val="false"/>
          </w:tcPr>
          <w:p>
            <w:pPr>
              <w:jc w:val="center"/>
              <w:rPr>
                <w:rFonts w:hint="eastAsia"/>
                <w:b/>
              </w:rPr>
            </w:pPr>
            <w:r>
              <w:rPr>
                <w:b/>
              </w:rPr>
              <w:t xml:space="preserve">审查因素</w:t>
            </w:r>
            <w:r/>
          </w:p>
        </w:tc>
        <w:tc>
          <w:tcPr>
            <w:tcW w:w="2649" w:type="pct"/>
            <w:vAlign w:val="center"/>
            <w:textDirection w:val="lrTb"/>
            <w:noWrap w:val="false"/>
          </w:tcPr>
          <w:p>
            <w:pPr>
              <w:jc w:val="center"/>
              <w:rPr>
                <w:rFonts w:hint="eastAsia"/>
                <w:b/>
              </w:rPr>
            </w:pPr>
            <w:r>
              <w:rPr>
                <w:b/>
              </w:rPr>
              <w:t xml:space="preserve">审查内容</w:t>
            </w:r>
            <w:r/>
          </w:p>
        </w:tc>
        <w:tc>
          <w:tcPr>
            <w:tcW w:w="923" w:type="pct"/>
            <w:vAlign w:val="center"/>
            <w:textDirection w:val="lrTb"/>
            <w:noWrap w:val="false"/>
          </w:tcPr>
          <w:p>
            <w:pPr>
              <w:jc w:val="center"/>
              <w:rPr>
                <w:rFonts w:hint="eastAsia"/>
                <w:b/>
              </w:rPr>
            </w:pPr>
            <w:r>
              <w:rPr>
                <w:rFonts w:hint="eastAsia"/>
                <w:b/>
              </w:rPr>
              <w:t xml:space="preserve">格式要求</w:t>
            </w:r>
            <w:r/>
          </w:p>
        </w:tc>
      </w:tr>
      <w:tr>
        <w:trPr>
          <w:jc w:val="center"/>
          <w:trHeight w:val="685"/>
        </w:trPr>
        <w:tc>
          <w:tcPr>
            <w:tcW w:w="482" w:type="pct"/>
            <w:vAlign w:val="center"/>
            <w:textDirection w:val="lrTb"/>
            <w:noWrap w:val="false"/>
          </w:tcPr>
          <w:p>
            <w:pPr>
              <w:jc w:val="center"/>
              <w:rPr>
                <w:rFonts w:hint="eastAsia"/>
              </w:rPr>
            </w:pPr>
            <w:r>
              <w:t xml:space="preserve">1</w:t>
            </w:r>
            <w:r/>
          </w:p>
        </w:tc>
        <w:tc>
          <w:tcPr>
            <w:tcW w:w="947" w:type="pct"/>
            <w:vAlign w:val="center"/>
            <w:textDirection w:val="lrTb"/>
            <w:noWrap w:val="false"/>
          </w:tcPr>
          <w:p>
            <w:pPr>
              <w:rPr>
                <w:rFonts w:hint="eastAsia"/>
              </w:rPr>
            </w:pPr>
            <w:r>
              <w:rPr>
                <w:rFonts w:hint="eastAsia"/>
              </w:rPr>
              <w:t xml:space="preserve">投标函</w:t>
            </w:r>
            <w:r/>
          </w:p>
        </w:tc>
        <w:tc>
          <w:tcPr>
            <w:tcW w:w="2649" w:type="pct"/>
            <w:vAlign w:val="center"/>
            <w:textDirection w:val="lrTb"/>
            <w:noWrap w:val="false"/>
          </w:tcPr>
          <w:p>
            <w:pPr>
              <w:rPr>
                <w:rFonts w:hint="eastAsia"/>
              </w:rPr>
            </w:pPr>
            <w:r>
              <w:rPr>
                <w:rFonts w:hint="eastAsia"/>
              </w:rPr>
              <w:t xml:space="preserve">投标函</w:t>
            </w:r>
            <w:r>
              <w:t xml:space="preserve">；</w:t>
            </w:r>
            <w:r/>
          </w:p>
        </w:tc>
        <w:tc>
          <w:tcPr>
            <w:tcW w:w="923" w:type="pct"/>
            <w:vAlign w:val="center"/>
            <w:textDirection w:val="lrTb"/>
            <w:noWrap w:val="false"/>
          </w:tcPr>
          <w:p>
            <w:pPr>
              <w:rPr>
                <w:rFonts w:hint="eastAsia"/>
              </w:rPr>
            </w:pPr>
            <w:r>
              <w:t xml:space="preserve">格式见《投标文件格式》</w:t>
            </w:r>
            <w:r/>
          </w:p>
        </w:tc>
      </w:tr>
      <w:tr>
        <w:trPr>
          <w:jc w:val="center"/>
          <w:trHeight w:val="685"/>
        </w:trPr>
        <w:tc>
          <w:tcPr>
            <w:tcW w:w="482" w:type="pct"/>
            <w:vAlign w:val="center"/>
            <w:textDirection w:val="lrTb"/>
            <w:noWrap w:val="false"/>
          </w:tcPr>
          <w:p>
            <w:pPr>
              <w:jc w:val="center"/>
              <w:rPr>
                <w:rFonts w:hint="eastAsia"/>
              </w:rPr>
            </w:pPr>
            <w:r>
              <w:t xml:space="preserve">2</w:t>
            </w:r>
            <w:r/>
          </w:p>
        </w:tc>
        <w:tc>
          <w:tcPr>
            <w:tcW w:w="947" w:type="pct"/>
            <w:vAlign w:val="center"/>
            <w:textDirection w:val="lrTb"/>
            <w:noWrap w:val="false"/>
          </w:tcPr>
          <w:p>
            <w:pPr>
              <w:rPr>
                <w:rFonts w:hint="eastAsia"/>
              </w:rPr>
            </w:pPr>
            <w:r>
              <w:t xml:space="preserve">投标完整性</w:t>
            </w:r>
            <w:r/>
          </w:p>
        </w:tc>
        <w:tc>
          <w:tcPr>
            <w:tcW w:w="2649" w:type="pct"/>
            <w:vAlign w:val="center"/>
            <w:textDirection w:val="lrTb"/>
            <w:noWrap w:val="false"/>
          </w:tcPr>
          <w:p>
            <w:pPr>
              <w:rPr>
                <w:rFonts w:hint="eastAsia"/>
              </w:rPr>
            </w:pPr>
            <w:r>
              <w:rPr>
                <w:rFonts w:hint="eastAsia"/>
              </w:rPr>
              <w:t xml:space="preserve">报价明细表未有缺项、漏项；</w:t>
            </w:r>
            <w:r/>
          </w:p>
        </w:tc>
        <w:tc>
          <w:tcPr>
            <w:tcW w:w="923" w:type="pct"/>
            <w:vAlign w:val="center"/>
            <w:textDirection w:val="lrTb"/>
            <w:noWrap w:val="false"/>
          </w:tcPr>
          <w:p>
            <w:pPr>
              <w:rPr>
                <w:rFonts w:hint="eastAsia"/>
              </w:rPr>
            </w:pPr>
            <w:r>
              <w:t xml:space="preserve">格式见《</w:t>
            </w:r>
            <w:r>
              <w:rPr>
                <w:rFonts w:hint="eastAsia"/>
              </w:rPr>
              <w:t xml:space="preserve">报价</w:t>
            </w:r>
            <w:r>
              <w:t xml:space="preserve">明细表》</w:t>
            </w:r>
            <w:r/>
          </w:p>
        </w:tc>
      </w:tr>
      <w:tr>
        <w:trPr>
          <w:jc w:val="center"/>
          <w:trHeight w:val="685"/>
        </w:trPr>
        <w:tc>
          <w:tcPr>
            <w:tcW w:w="482" w:type="pct"/>
            <w:vAlign w:val="center"/>
            <w:textDirection w:val="lrTb"/>
            <w:noWrap w:val="false"/>
          </w:tcPr>
          <w:p>
            <w:pPr>
              <w:jc w:val="center"/>
              <w:rPr>
                <w:rFonts w:hint="eastAsia"/>
              </w:rPr>
            </w:pPr>
            <w:r>
              <w:t xml:space="preserve">3</w:t>
            </w:r>
            <w:r/>
          </w:p>
        </w:tc>
        <w:tc>
          <w:tcPr>
            <w:tcW w:w="947" w:type="pct"/>
            <w:vAlign w:val="center"/>
            <w:textDirection w:val="lrTb"/>
            <w:noWrap w:val="false"/>
          </w:tcPr>
          <w:p>
            <w:pPr>
              <w:rPr>
                <w:rFonts w:hint="eastAsia"/>
              </w:rPr>
            </w:pPr>
            <w:r>
              <w:t xml:space="preserve">投标报价</w:t>
            </w:r>
            <w:r/>
          </w:p>
        </w:tc>
        <w:tc>
          <w:tcPr>
            <w:tcW w:w="2649" w:type="pct"/>
            <w:vAlign w:val="center"/>
            <w:textDirection w:val="lrTb"/>
            <w:noWrap w:val="false"/>
          </w:tcPr>
          <w:p>
            <w:pPr>
              <w:rPr>
                <w:rFonts w:hint="eastAsia"/>
              </w:rPr>
            </w:pPr>
            <w:r>
              <w:rPr>
                <w:rFonts w:hint="eastAsia"/>
              </w:rPr>
              <w:t xml:space="preserve">投标报价未超过最高限价（总价最高限价及单价最高限价）或预算价的</w:t>
            </w:r>
            <w:r>
              <w:t xml:space="preserve">；</w:t>
            </w:r>
            <w:r/>
          </w:p>
        </w:tc>
        <w:tc>
          <w:tcPr>
            <w:tcW w:w="923" w:type="pct"/>
            <w:vAlign w:val="center"/>
            <w:textDirection w:val="lrTb"/>
            <w:noWrap w:val="false"/>
          </w:tcPr>
          <w:p>
            <w:pPr>
              <w:rPr>
                <w:rFonts w:hint="eastAsia"/>
              </w:rPr>
            </w:pPr>
            <w:r>
              <w:rPr>
                <w:rFonts w:hint="eastAsia"/>
              </w:rPr>
            </w:r>
            <w:r/>
          </w:p>
        </w:tc>
      </w:tr>
      <w:tr>
        <w:trPr>
          <w:jc w:val="center"/>
          <w:trHeight w:val="685"/>
        </w:trPr>
        <w:tc>
          <w:tcPr>
            <w:tcW w:w="482" w:type="pct"/>
            <w:vAlign w:val="center"/>
            <w:textDirection w:val="lrTb"/>
            <w:noWrap w:val="false"/>
          </w:tcPr>
          <w:p>
            <w:pPr>
              <w:jc w:val="center"/>
              <w:rPr>
                <w:rFonts w:hint="eastAsia"/>
              </w:rPr>
            </w:pPr>
            <w:r>
              <w:t xml:space="preserve">4</w:t>
            </w:r>
            <w:r/>
          </w:p>
        </w:tc>
        <w:tc>
          <w:tcPr>
            <w:tcW w:w="947" w:type="pct"/>
            <w:vAlign w:val="center"/>
            <w:textDirection w:val="lrTb"/>
            <w:noWrap w:val="false"/>
          </w:tcPr>
          <w:p>
            <w:pPr>
              <w:rPr>
                <w:rFonts w:hint="eastAsia"/>
              </w:rPr>
            </w:pPr>
            <w:r>
              <w:t xml:space="preserve">报价唯一性</w:t>
            </w:r>
            <w:r/>
          </w:p>
        </w:tc>
        <w:tc>
          <w:tcPr>
            <w:tcW w:w="2649" w:type="pct"/>
            <w:vAlign w:val="center"/>
            <w:textDirection w:val="lrTb"/>
            <w:noWrap w:val="false"/>
          </w:tcPr>
          <w:p>
            <w:pPr>
              <w:rPr>
                <w:rFonts w:hint="eastAsia"/>
              </w:rPr>
            </w:pPr>
            <w:r>
              <w:t xml:space="preserve">投标文件</w:t>
            </w:r>
            <w:r>
              <w:rPr>
                <w:rFonts w:hint="eastAsia"/>
              </w:rPr>
              <w:t xml:space="preserve">未出现可选择性或可调整的报价（招标文件另有规定的除外）</w:t>
            </w:r>
            <w:r>
              <w:t xml:space="preserve">；</w:t>
            </w:r>
            <w:r/>
          </w:p>
        </w:tc>
        <w:tc>
          <w:tcPr>
            <w:tcW w:w="923" w:type="pct"/>
            <w:vAlign w:val="center"/>
            <w:textDirection w:val="lrTb"/>
            <w:noWrap w:val="false"/>
          </w:tcPr>
          <w:p>
            <w:pPr>
              <w:rPr>
                <w:rFonts w:hint="eastAsia"/>
              </w:rPr>
            </w:pPr>
            <w:r>
              <w:rPr>
                <w:rFonts w:hint="eastAsia"/>
              </w:rPr>
            </w:r>
            <w:r/>
          </w:p>
        </w:tc>
      </w:tr>
      <w:tr>
        <w:trPr>
          <w:jc w:val="center"/>
          <w:trHeight w:val="685"/>
        </w:trPr>
        <w:tc>
          <w:tcPr>
            <w:tcW w:w="482" w:type="pct"/>
            <w:vAlign w:val="center"/>
            <w:textDirection w:val="lrTb"/>
            <w:noWrap w:val="false"/>
          </w:tcPr>
          <w:p>
            <w:pPr>
              <w:jc w:val="center"/>
              <w:rPr>
                <w:rFonts w:hint="eastAsia"/>
              </w:rPr>
            </w:pPr>
            <w:r>
              <w:t xml:space="preserve">5</w:t>
            </w:r>
            <w:r/>
          </w:p>
        </w:tc>
        <w:tc>
          <w:tcPr>
            <w:tcW w:w="947" w:type="pct"/>
            <w:vAlign w:val="center"/>
            <w:textDirection w:val="lrTb"/>
            <w:noWrap w:val="false"/>
          </w:tcPr>
          <w:p>
            <w:pPr>
              <w:rPr>
                <w:rFonts w:hint="eastAsia"/>
              </w:rPr>
            </w:pPr>
            <w:r>
              <w:t xml:space="preserve">投标有效期</w:t>
            </w:r>
            <w:r/>
          </w:p>
        </w:tc>
        <w:tc>
          <w:tcPr>
            <w:tcW w:w="2649" w:type="pct"/>
            <w:vAlign w:val="center"/>
            <w:textDirection w:val="lrTb"/>
            <w:noWrap w:val="false"/>
          </w:tcPr>
          <w:p>
            <w:pPr>
              <w:rPr>
                <w:rFonts w:hint="eastAsia"/>
              </w:rPr>
            </w:pPr>
            <w:r>
              <w:t xml:space="preserve">投标文件中承诺的投标有效期</w:t>
            </w:r>
            <w:r>
              <w:rPr>
                <w:rFonts w:hint="eastAsia"/>
              </w:rPr>
              <w:t xml:space="preserve">满足</w:t>
            </w:r>
            <w:r>
              <w:t xml:space="preserve">招标文件中载明的投标有效期的；</w:t>
            </w:r>
            <w:r/>
          </w:p>
        </w:tc>
        <w:tc>
          <w:tcPr>
            <w:tcW w:w="923" w:type="pct"/>
            <w:vAlign w:val="center"/>
            <w:textDirection w:val="lrTb"/>
            <w:noWrap w:val="false"/>
          </w:tcPr>
          <w:p>
            <w:pPr>
              <w:rPr>
                <w:rFonts w:hint="eastAsia"/>
              </w:rPr>
            </w:pPr>
            <w:r>
              <w:rPr>
                <w:rFonts w:hint="eastAsia"/>
              </w:rPr>
            </w:r>
            <w:r/>
          </w:p>
        </w:tc>
      </w:tr>
      <w:tr>
        <w:trPr>
          <w:jc w:val="center"/>
          <w:trHeight w:val="685"/>
        </w:trPr>
        <w:tc>
          <w:tcPr>
            <w:tcW w:w="482" w:type="pct"/>
            <w:vAlign w:val="center"/>
            <w:textDirection w:val="lrTb"/>
            <w:noWrap w:val="false"/>
          </w:tcPr>
          <w:p>
            <w:pPr>
              <w:jc w:val="center"/>
              <w:rPr>
                <w:rFonts w:hint="eastAsia"/>
              </w:rPr>
            </w:pPr>
            <w:r>
              <w:t xml:space="preserve">6</w:t>
            </w:r>
            <w:r/>
          </w:p>
        </w:tc>
        <w:tc>
          <w:tcPr>
            <w:tcW w:w="947" w:type="pct"/>
            <w:vAlign w:val="center"/>
            <w:textDirection w:val="lrTb"/>
            <w:noWrap w:val="false"/>
          </w:tcPr>
          <w:p>
            <w:pPr>
              <w:rPr>
                <w:rFonts w:hint="eastAsia"/>
              </w:rPr>
            </w:pPr>
            <w:r>
              <w:t xml:space="preserve">签署、加盖公章</w:t>
            </w:r>
            <w:r/>
          </w:p>
        </w:tc>
        <w:tc>
          <w:tcPr>
            <w:tcW w:w="2649" w:type="pct"/>
            <w:vAlign w:val="center"/>
            <w:textDirection w:val="lrTb"/>
            <w:noWrap w:val="false"/>
          </w:tcPr>
          <w:p>
            <w:pPr>
              <w:rPr>
                <w:rFonts w:hint="eastAsia"/>
              </w:rPr>
            </w:pPr>
            <w:r>
              <w:t xml:space="preserve">按照招标文件要求签署、加盖公章的；</w:t>
            </w:r>
            <w:r/>
          </w:p>
        </w:tc>
        <w:tc>
          <w:tcPr>
            <w:tcW w:w="923" w:type="pct"/>
            <w:vAlign w:val="center"/>
            <w:textDirection w:val="lrTb"/>
            <w:noWrap w:val="false"/>
          </w:tcPr>
          <w:p>
            <w:pPr>
              <w:rPr>
                <w:rFonts w:hint="eastAsia"/>
              </w:rPr>
            </w:pPr>
            <w:r>
              <w:rPr>
                <w:rFonts w:hint="eastAsia"/>
              </w:rPr>
            </w:r>
            <w:r/>
          </w:p>
        </w:tc>
      </w:tr>
      <w:tr>
        <w:trPr>
          <w:jc w:val="center"/>
          <w:trHeight w:val="685"/>
        </w:trPr>
        <w:tc>
          <w:tcPr>
            <w:tcW w:w="482" w:type="pct"/>
            <w:vAlign w:val="center"/>
            <w:textDirection w:val="lrTb"/>
            <w:noWrap w:val="false"/>
          </w:tcPr>
          <w:p>
            <w:pPr>
              <w:jc w:val="center"/>
              <w:rPr>
                <w:rFonts w:hint="eastAsia"/>
              </w:rPr>
            </w:pPr>
            <w:r>
              <w:rPr>
                <w:rFonts w:hint="eastAsia"/>
              </w:rPr>
              <w:t xml:space="preserve">7</w:t>
            </w:r>
            <w:r/>
          </w:p>
        </w:tc>
        <w:tc>
          <w:tcPr>
            <w:tcW w:w="947" w:type="pct"/>
            <w:vAlign w:val="center"/>
            <w:textDirection w:val="lrTb"/>
            <w:noWrap w:val="false"/>
          </w:tcPr>
          <w:p>
            <w:pPr>
              <w:rPr>
                <w:rFonts w:hint="eastAsia"/>
              </w:rPr>
            </w:pPr>
            <w:r>
              <w:rPr>
                <w:rFonts w:hint="eastAsia"/>
              </w:rPr>
              <w:t xml:space="preserve">实质性格式</w:t>
            </w:r>
            <w:r/>
          </w:p>
        </w:tc>
        <w:tc>
          <w:tcPr>
            <w:tcW w:w="2649" w:type="pct"/>
            <w:vAlign w:val="center"/>
            <w:textDirection w:val="lrTb"/>
            <w:noWrap w:val="false"/>
          </w:tcPr>
          <w:p>
            <w:pPr>
              <w:rPr>
                <w:rFonts w:hint="eastAsia"/>
              </w:rPr>
            </w:pPr>
            <w:r>
              <w:rPr>
                <w:rFonts w:hint="eastAsia"/>
              </w:rPr>
              <w:t xml:space="preserve">标记为</w:t>
            </w:r>
            <w:r>
              <w:t xml:space="preserve">“实质性格式”的</w:t>
            </w:r>
            <w:r>
              <w:rPr>
                <w:rFonts w:hint="eastAsia"/>
              </w:rPr>
              <w:t xml:space="preserve">文件均按</w:t>
            </w:r>
            <w:r>
              <w:t xml:space="preserve">招标文件</w:t>
            </w:r>
            <w:r>
              <w:rPr>
                <w:rFonts w:hint="eastAsia"/>
              </w:rPr>
              <w:t xml:space="preserve">要求提供；</w:t>
            </w:r>
            <w:r/>
          </w:p>
        </w:tc>
        <w:tc>
          <w:tcPr>
            <w:tcW w:w="923" w:type="pct"/>
            <w:vAlign w:val="center"/>
            <w:textDirection w:val="lrTb"/>
            <w:noWrap w:val="false"/>
          </w:tcPr>
          <w:p>
            <w:pPr>
              <w:rPr>
                <w:rFonts w:hint="eastAsia"/>
              </w:rPr>
            </w:pPr>
            <w:r>
              <w:rPr>
                <w:rFonts w:hint="eastAsia"/>
              </w:rPr>
            </w:r>
            <w:r/>
          </w:p>
        </w:tc>
      </w:tr>
      <w:tr>
        <w:trPr>
          <w:jc w:val="center"/>
          <w:trHeight w:val="685"/>
        </w:trPr>
        <w:tc>
          <w:tcPr>
            <w:tcW w:w="482" w:type="pct"/>
            <w:vAlign w:val="center"/>
            <w:textDirection w:val="lrTb"/>
            <w:noWrap w:val="false"/>
          </w:tcPr>
          <w:p>
            <w:pPr>
              <w:jc w:val="center"/>
              <w:rPr>
                <w:rFonts w:hint="eastAsia"/>
              </w:rPr>
            </w:pPr>
            <w:r>
              <w:t xml:space="preserve">8</w:t>
            </w:r>
            <w:r/>
          </w:p>
        </w:tc>
        <w:tc>
          <w:tcPr>
            <w:tcW w:w="947" w:type="pct"/>
            <w:vAlign w:val="center"/>
            <w:textDirection w:val="lrTb"/>
            <w:noWrap w:val="false"/>
          </w:tcPr>
          <w:p>
            <w:pPr>
              <w:rPr>
                <w:rFonts w:hint="eastAsia"/>
              </w:rPr>
            </w:pPr>
            <w:r>
              <w:rPr>
                <w:rFonts w:cs="Segoe UI Symbol"/>
              </w:rPr>
              <w:t xml:space="preserve">★</w:t>
            </w:r>
            <w:r>
              <w:t xml:space="preserve">号条款响应</w:t>
            </w:r>
            <w:r/>
          </w:p>
        </w:tc>
        <w:tc>
          <w:tcPr>
            <w:tcW w:w="2649" w:type="pct"/>
            <w:vAlign w:val="center"/>
            <w:textDirection w:val="lrTb"/>
            <w:noWrap w:val="false"/>
          </w:tcPr>
          <w:p>
            <w:pPr>
              <w:rPr>
                <w:rFonts w:hint="eastAsia"/>
              </w:rPr>
            </w:pPr>
            <w:r>
              <w:t xml:space="preserve">投标文件满足招标文件第五章《采购需求》中</w:t>
            </w:r>
            <w:r>
              <w:rPr>
                <w:rFonts w:cs="Segoe UI Symbol"/>
              </w:rPr>
              <w:t xml:space="preserve">★</w:t>
            </w:r>
            <w:r>
              <w:t xml:space="preserve">号条款要求的；</w:t>
            </w:r>
            <w:r/>
          </w:p>
        </w:tc>
        <w:tc>
          <w:tcPr>
            <w:tcW w:w="923" w:type="pct"/>
            <w:vAlign w:val="center"/>
            <w:textDirection w:val="lrTb"/>
            <w:noWrap w:val="false"/>
          </w:tcPr>
          <w:p>
            <w:pPr>
              <w:rPr>
                <w:rFonts w:hint="eastAsia"/>
              </w:rPr>
            </w:pPr>
            <w:r>
              <w:rPr>
                <w:rFonts w:hint="eastAsia"/>
              </w:rPr>
            </w:r>
            <w:r/>
          </w:p>
        </w:tc>
      </w:tr>
      <w:tr>
        <w:trPr>
          <w:jc w:val="center"/>
          <w:trHeight w:val="685"/>
        </w:trPr>
        <w:tc>
          <w:tcPr>
            <w:tcW w:w="482" w:type="pct"/>
            <w:vAlign w:val="center"/>
            <w:textDirection w:val="lrTb"/>
            <w:noWrap w:val="false"/>
          </w:tcPr>
          <w:p>
            <w:pPr>
              <w:jc w:val="center"/>
              <w:rPr>
                <w:rFonts w:hint="eastAsia"/>
              </w:rPr>
            </w:pPr>
            <w:r>
              <w:t xml:space="preserve">9</w:t>
            </w:r>
            <w:r/>
          </w:p>
        </w:tc>
        <w:tc>
          <w:tcPr>
            <w:tcW w:w="947" w:type="pct"/>
            <w:vAlign w:val="center"/>
            <w:textDirection w:val="lrTb"/>
            <w:noWrap w:val="false"/>
          </w:tcPr>
          <w:p>
            <w:pPr>
              <w:rPr>
                <w:rFonts w:hint="eastAsia"/>
              </w:rPr>
            </w:pPr>
            <w:r>
              <w:t xml:space="preserve">分包承担主体资质（如有）</w:t>
            </w:r>
            <w:r/>
          </w:p>
        </w:tc>
        <w:tc>
          <w:tcPr>
            <w:tcW w:w="2649" w:type="pct"/>
            <w:vAlign w:val="center"/>
            <w:textDirection w:val="lrTb"/>
            <w:noWrap w:val="false"/>
          </w:tcPr>
          <w:p>
            <w:pPr>
              <w:rPr>
                <w:rFonts w:hint="eastAsia"/>
              </w:rPr>
            </w:pPr>
            <w:r>
              <w:t xml:space="preserve">分包承担主体具备《投标人须知资料表》载明的资质条件</w:t>
            </w:r>
            <w:r>
              <w:rPr>
                <w:rFonts w:hint="eastAsia"/>
              </w:rPr>
              <w:t xml:space="preserve">且</w:t>
            </w:r>
            <w:r>
              <w:t xml:space="preserve">提供</w:t>
            </w:r>
            <w:r>
              <w:rPr>
                <w:rFonts w:hint="eastAsia"/>
              </w:rPr>
              <w:t xml:space="preserve">了</w:t>
            </w:r>
            <w:r>
              <w:t xml:space="preserve">资质证书电子件</w:t>
            </w:r>
            <w:r>
              <w:rPr>
                <w:rFonts w:hint="eastAsia"/>
              </w:rPr>
              <w:t xml:space="preserve">（如有）</w:t>
            </w:r>
            <w:r>
              <w:t xml:space="preserve">；</w:t>
            </w:r>
            <w:r/>
          </w:p>
        </w:tc>
        <w:tc>
          <w:tcPr>
            <w:tcW w:w="923" w:type="pct"/>
            <w:vAlign w:val="center"/>
            <w:textDirection w:val="lrTb"/>
            <w:noWrap w:val="false"/>
          </w:tcPr>
          <w:p>
            <w:pPr>
              <w:rPr>
                <w:rFonts w:hint="eastAsia"/>
              </w:rPr>
            </w:pPr>
            <w:r>
              <w:rPr>
                <w:rFonts w:hint="eastAsia"/>
              </w:rPr>
            </w:r>
            <w:r/>
          </w:p>
        </w:tc>
      </w:tr>
      <w:tr>
        <w:trPr>
          <w:jc w:val="center"/>
          <w:trHeight w:val="685"/>
        </w:trPr>
        <w:tc>
          <w:tcPr>
            <w:tcW w:w="482" w:type="pct"/>
            <w:vAlign w:val="center"/>
            <w:textDirection w:val="lrTb"/>
            <w:noWrap w:val="false"/>
          </w:tcPr>
          <w:p>
            <w:pPr>
              <w:jc w:val="center"/>
              <w:rPr>
                <w:rFonts w:hint="eastAsia"/>
              </w:rPr>
            </w:pPr>
            <w:r>
              <w:t xml:space="preserve">10</w:t>
            </w:r>
            <w:r/>
          </w:p>
        </w:tc>
        <w:tc>
          <w:tcPr>
            <w:tcW w:w="947" w:type="pct"/>
            <w:vAlign w:val="center"/>
            <w:textDirection w:val="lrTb"/>
            <w:noWrap w:val="false"/>
          </w:tcPr>
          <w:p>
            <w:pPr>
              <w:rPr>
                <w:rFonts w:hint="eastAsia"/>
              </w:rPr>
            </w:pPr>
            <w:r>
              <w:t xml:space="preserve">分包意向协议（如有）</w:t>
            </w:r>
            <w:r/>
          </w:p>
        </w:tc>
        <w:tc>
          <w:tcPr>
            <w:tcW w:w="2649" w:type="pct"/>
            <w:vAlign w:val="center"/>
            <w:textDirection w:val="lrTb"/>
            <w:noWrap w:val="false"/>
          </w:tcPr>
          <w:p>
            <w:pPr>
              <w:rPr>
                <w:rFonts w:hint="eastAsia"/>
              </w:rPr>
            </w:pPr>
            <w:r>
              <w:t xml:space="preserve">按招标文件规定签订并提供分包意向协议原件的电子件的；</w:t>
            </w:r>
            <w:r>
              <w:rPr>
                <w:rFonts w:hint="eastAsia"/>
              </w:rPr>
              <w:t xml:space="preserve">（如有）</w:t>
            </w:r>
            <w:r/>
          </w:p>
        </w:tc>
        <w:tc>
          <w:tcPr>
            <w:tcW w:w="923" w:type="pct"/>
            <w:vAlign w:val="center"/>
            <w:textDirection w:val="lrTb"/>
            <w:noWrap w:val="false"/>
          </w:tcPr>
          <w:p>
            <w:pPr>
              <w:rPr>
                <w:rFonts w:hint="eastAsia"/>
              </w:rPr>
            </w:pPr>
            <w:r>
              <w:rPr>
                <w:rFonts w:hint="eastAsia"/>
              </w:rPr>
            </w:r>
            <w:r/>
          </w:p>
        </w:tc>
      </w:tr>
      <w:tr>
        <w:trPr>
          <w:jc w:val="center"/>
          <w:trHeight w:val="685"/>
        </w:trPr>
        <w:tc>
          <w:tcPr>
            <w:tcW w:w="482" w:type="pct"/>
            <w:vAlign w:val="center"/>
            <w:textDirection w:val="lrTb"/>
            <w:noWrap w:val="false"/>
          </w:tcPr>
          <w:p>
            <w:pPr>
              <w:jc w:val="center"/>
              <w:rPr>
                <w:rFonts w:hint="eastAsia"/>
              </w:rPr>
            </w:pPr>
            <w:r>
              <w:t xml:space="preserve">11</w:t>
            </w:r>
            <w:r/>
          </w:p>
        </w:tc>
        <w:tc>
          <w:tcPr>
            <w:tcW w:w="947" w:type="pct"/>
            <w:vAlign w:val="center"/>
            <w:textDirection w:val="lrTb"/>
            <w:noWrap w:val="false"/>
          </w:tcPr>
          <w:p>
            <w:pPr>
              <w:rPr>
                <w:rFonts w:hint="eastAsia"/>
              </w:rPr>
            </w:pPr>
            <w:r>
              <w:t xml:space="preserve">报价的修正（如有）</w:t>
            </w:r>
            <w:r/>
          </w:p>
        </w:tc>
        <w:tc>
          <w:tcPr>
            <w:tcW w:w="2649" w:type="pct"/>
            <w:vAlign w:val="center"/>
            <w:textDirection w:val="lrTb"/>
            <w:noWrap w:val="false"/>
          </w:tcPr>
          <w:p>
            <w:pPr>
              <w:rPr>
                <w:rFonts w:hint="eastAsia"/>
              </w:rPr>
            </w:pPr>
            <w:r>
              <w:rPr>
                <w:rFonts w:hint="eastAsia"/>
              </w:rPr>
              <w:t xml:space="preserve">不涉及报价修正</w:t>
            </w:r>
            <w:r>
              <w:t xml:space="preserve">，或投标文件报价出现前后不一致</w:t>
            </w:r>
            <w:r>
              <w:rPr>
                <w:rFonts w:hint="eastAsia"/>
              </w:rPr>
              <w:t xml:space="preserve">时</w:t>
            </w:r>
            <w:r>
              <w:t xml:space="preserve">，投标人对修正后的报价予</w:t>
            </w:r>
            <w:r>
              <w:rPr>
                <w:rFonts w:hint="eastAsia"/>
              </w:rPr>
              <w:t xml:space="preserve">以</w:t>
            </w:r>
            <w:r>
              <w:t xml:space="preserve">确认；（如有）</w:t>
            </w:r>
            <w:r/>
          </w:p>
        </w:tc>
        <w:tc>
          <w:tcPr>
            <w:tcW w:w="923" w:type="pct"/>
            <w:vAlign w:val="center"/>
            <w:textDirection w:val="lrTb"/>
            <w:noWrap w:val="false"/>
          </w:tcPr>
          <w:p>
            <w:pPr>
              <w:rPr>
                <w:rFonts w:hint="eastAsia"/>
              </w:rPr>
            </w:pPr>
            <w:r>
              <w:rPr>
                <w:rFonts w:hint="eastAsia"/>
              </w:rPr>
            </w:r>
            <w:r/>
          </w:p>
        </w:tc>
      </w:tr>
      <w:tr>
        <w:trPr>
          <w:jc w:val="center"/>
          <w:trHeight w:val="685"/>
        </w:trPr>
        <w:tc>
          <w:tcPr>
            <w:tcW w:w="482" w:type="pct"/>
            <w:vAlign w:val="center"/>
            <w:textDirection w:val="lrTb"/>
            <w:noWrap w:val="false"/>
          </w:tcPr>
          <w:p>
            <w:pPr>
              <w:jc w:val="center"/>
              <w:rPr>
                <w:rFonts w:hint="eastAsia"/>
              </w:rPr>
            </w:pPr>
            <w:r>
              <w:t xml:space="preserve">12</w:t>
            </w:r>
            <w:r/>
          </w:p>
        </w:tc>
        <w:tc>
          <w:tcPr>
            <w:tcW w:w="947" w:type="pct"/>
            <w:vAlign w:val="center"/>
            <w:textDirection w:val="lrTb"/>
            <w:noWrap w:val="false"/>
          </w:tcPr>
          <w:p>
            <w:pPr>
              <w:rPr>
                <w:rFonts w:hint="eastAsia"/>
              </w:rPr>
            </w:pPr>
            <w:r>
              <w:t xml:space="preserve">报价合理性</w:t>
            </w:r>
            <w:r/>
          </w:p>
        </w:tc>
        <w:tc>
          <w:tcPr>
            <w:tcW w:w="2649" w:type="pct"/>
            <w:vAlign w:val="center"/>
            <w:textDirection w:val="lrTb"/>
            <w:noWrap w:val="false"/>
          </w:tcPr>
          <w:p>
            <w:pPr>
              <w:rPr>
                <w:rFonts w:hint="eastAsia"/>
              </w:rPr>
            </w:pPr>
            <w:r>
              <w:rPr>
                <w:rFonts w:hint="eastAsia"/>
              </w:rPr>
              <w:t xml:space="preserve">根据财政部《关于推动解决政府采购异常低价问题的通知》财库〔2026〕2号文件之规定：当评审过程中出现下列情形之一的，评审委员会应当启动异常低价投标（响应）审查程序： </w:t>
            </w:r>
            <w:r/>
          </w:p>
          <w:p>
            <w:pPr>
              <w:rPr>
                <w:rFonts w:hint="eastAsia"/>
              </w:rPr>
            </w:pPr>
            <w:r>
              <w:rPr>
                <w:rFonts w:hint="eastAsia"/>
              </w:rPr>
              <w:t xml:space="preserve">1.投标（响应）报价低于全部通过符合性审查供应商投标（响应）报价平均值50%的，即投标（响应）报价&lt;全部通过符合性审查供应商投标（响应）报价平均值×50%；</w:t>
            </w:r>
            <w:r/>
          </w:p>
          <w:p>
            <w:pPr>
              <w:rPr>
                <w:rFonts w:hint="eastAsia"/>
              </w:rPr>
            </w:pPr>
            <w:r>
              <w:rPr>
                <w:rFonts w:hint="eastAsia"/>
              </w:rPr>
              <w:t xml:space="preserve">2.投标（响应）报价低于通过符合性审查的次低报价供应商投标（响应）报价50%的，即投标（响应）报价&lt;通过符合性审查的次低报价供应商投标（响应）报价×50%；</w:t>
            </w:r>
            <w:r/>
          </w:p>
          <w:p>
            <w:pPr>
              <w:rPr>
                <w:rFonts w:hint="eastAsia"/>
              </w:rPr>
            </w:pPr>
            <w:r>
              <w:rPr>
                <w:rFonts w:hint="eastAsia"/>
              </w:rPr>
              <w:t xml:space="preserve">3.投标（响应）报价低于采购项目最高限价45%的，即投标（响应）报价&lt;采购项目最高限价×45%；</w:t>
            </w:r>
            <w:r/>
          </w:p>
          <w:p>
            <w:pPr>
              <w:rPr>
                <w:rFonts w:hint="eastAsia"/>
              </w:rPr>
            </w:pPr>
            <w:r>
              <w:rPr>
                <w:rFonts w:hint="eastAsia"/>
              </w:rPr>
              <w:t xml:space="preserve">4.评审委员会基于专业判断，认为供应商报价过低，有可能影响产品质量或者不能诚信履约的其他情形。</w:t>
            </w:r>
            <w:r/>
          </w:p>
          <w:p>
            <w:pPr>
              <w:rPr>
                <w:rFonts w:hint="eastAsia"/>
              </w:rPr>
            </w:pPr>
            <w:r>
              <w:rPr>
                <w:rFonts w:hint="eastAsia"/>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rPr>
                <w:rFonts w:hint="eastAsia"/>
              </w:rPr>
            </w:pPr>
            <w:r>
              <w:rPr>
                <w:rFonts w:hint="eastAsi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rPr>
                <w:rFonts w:hint="eastAsia"/>
              </w:rPr>
            </w:pPr>
            <w:r>
              <w:rPr>
                <w:rFonts w:hint="eastAsia"/>
              </w:rPr>
              <w:t xml:space="preserve">异常低价投标（响应）审查的启动原因、审查意见和审查结果应当在评审报告中记录，并随供应商提供的相关书面说明及证明材料，以及评审委员会有关互联网浏览、查询历史一并归档。</w:t>
            </w:r>
            <w:r/>
          </w:p>
        </w:tc>
        <w:tc>
          <w:tcPr>
            <w:tcW w:w="923" w:type="pct"/>
            <w:vAlign w:val="center"/>
            <w:textDirection w:val="lrTb"/>
            <w:noWrap w:val="false"/>
          </w:tcPr>
          <w:p>
            <w:pPr>
              <w:rPr>
                <w:rFonts w:hint="eastAsia"/>
              </w:rPr>
            </w:pPr>
            <w:r>
              <w:rPr>
                <w:rFonts w:hint="eastAsia"/>
              </w:rPr>
            </w:r>
            <w:r/>
          </w:p>
        </w:tc>
      </w:tr>
      <w:tr>
        <w:trPr>
          <w:jc w:val="center"/>
          <w:trHeight w:val="685"/>
        </w:trPr>
        <w:tc>
          <w:tcPr>
            <w:tcW w:w="482" w:type="pct"/>
            <w:vAlign w:val="center"/>
            <w:textDirection w:val="lrTb"/>
            <w:noWrap w:val="false"/>
          </w:tcPr>
          <w:p>
            <w:pPr>
              <w:jc w:val="center"/>
              <w:rPr>
                <w:rFonts w:hint="eastAsia"/>
              </w:rPr>
            </w:pPr>
            <w:r>
              <w:t xml:space="preserve">13</w:t>
            </w:r>
            <w:r/>
          </w:p>
        </w:tc>
        <w:tc>
          <w:tcPr>
            <w:tcW w:w="947" w:type="pct"/>
            <w:vAlign w:val="center"/>
            <w:textDirection w:val="lrTb"/>
            <w:noWrap w:val="false"/>
          </w:tcPr>
          <w:p>
            <w:pPr>
              <w:rPr>
                <w:rFonts w:hint="eastAsia"/>
              </w:rPr>
            </w:pPr>
            <w:r>
              <w:t xml:space="preserve">进口产品</w:t>
            </w:r>
            <w:r/>
          </w:p>
          <w:p>
            <w:pPr>
              <w:rPr>
                <w:rFonts w:hint="eastAsia"/>
              </w:rPr>
            </w:pPr>
            <w:r>
              <w:t xml:space="preserve">（如有）</w:t>
            </w:r>
            <w:r/>
          </w:p>
        </w:tc>
        <w:tc>
          <w:tcPr>
            <w:tcW w:w="2649" w:type="pct"/>
            <w:vAlign w:val="center"/>
            <w:textDirection w:val="lrTb"/>
            <w:noWrap w:val="false"/>
          </w:tcPr>
          <w:p>
            <w:pPr>
              <w:rPr>
                <w:rFonts w:hint="eastAsia"/>
              </w:rPr>
            </w:pPr>
            <w:r>
              <w:rPr>
                <w:rFonts w:hint="eastAsia"/>
              </w:rPr>
              <w:t xml:space="preserve">招标文件</w:t>
            </w:r>
            <w:r>
              <w:t xml:space="preserve">不接受进口产品投标</w:t>
            </w:r>
            <w:r>
              <w:rPr>
                <w:rFonts w:hint="eastAsia"/>
              </w:rPr>
              <w:t xml:space="preserve">的内容时</w:t>
            </w:r>
            <w:r>
              <w:t xml:space="preserve">，</w:t>
            </w:r>
            <w:r>
              <w:rPr>
                <w:rFonts w:hint="eastAsia"/>
              </w:rPr>
              <w:t xml:space="preserve">投标人所投产品为非进口产品；</w:t>
            </w:r>
            <w:r/>
          </w:p>
        </w:tc>
        <w:tc>
          <w:tcPr>
            <w:tcW w:w="923" w:type="pct"/>
            <w:vAlign w:val="center"/>
            <w:textDirection w:val="lrTb"/>
            <w:noWrap w:val="false"/>
          </w:tcPr>
          <w:p>
            <w:pPr>
              <w:rPr>
                <w:rFonts w:hint="eastAsia"/>
              </w:rPr>
            </w:pPr>
            <w:r>
              <w:rPr>
                <w:rFonts w:hint="eastAsia"/>
              </w:rPr>
            </w:r>
            <w:r/>
          </w:p>
        </w:tc>
      </w:tr>
      <w:tr>
        <w:trPr>
          <w:jc w:val="center"/>
          <w:trHeight w:val="685"/>
        </w:trPr>
        <w:tc>
          <w:tcPr>
            <w:tcW w:w="482" w:type="pct"/>
            <w:vAlign w:val="center"/>
            <w:textDirection w:val="lrTb"/>
            <w:noWrap w:val="false"/>
          </w:tcPr>
          <w:p>
            <w:pPr>
              <w:jc w:val="center"/>
              <w:rPr>
                <w:rFonts w:hint="eastAsia"/>
              </w:rPr>
            </w:pPr>
            <w:r>
              <w:t xml:space="preserve">14</w:t>
            </w:r>
            <w:r/>
          </w:p>
        </w:tc>
        <w:tc>
          <w:tcPr>
            <w:tcW w:w="947" w:type="pct"/>
            <w:vAlign w:val="center"/>
            <w:textDirection w:val="lrTb"/>
            <w:noWrap w:val="false"/>
          </w:tcPr>
          <w:p>
            <w:pPr>
              <w:rPr>
                <w:rFonts w:hint="eastAsia"/>
              </w:rPr>
            </w:pPr>
            <w:r>
              <w:t xml:space="preserve">国家有关部门对投标人的投标产品有强制性规定或要求的</w:t>
            </w:r>
            <w:r/>
          </w:p>
        </w:tc>
        <w:tc>
          <w:tcPr>
            <w:tcW w:w="2649" w:type="pct"/>
            <w:vAlign w:val="center"/>
            <w:textDirection w:val="lrTb"/>
            <w:noWrap w:val="false"/>
          </w:tcPr>
          <w:p>
            <w:pPr>
              <w:rPr>
                <w:rFonts w:hint="eastAsia"/>
              </w:rPr>
            </w:pPr>
            <w:r>
              <w:t xml:space="preserve">国家有关部门对投标人的投标产品有强制性规定或要求的（如相应技术、安全、节能和环保等），投标人的投标产品</w:t>
            </w:r>
            <w:r>
              <w:rPr>
                <w:rFonts w:hint="eastAsia"/>
              </w:rPr>
              <w:t xml:space="preserve">应</w:t>
            </w:r>
            <w:r>
              <w:t xml:space="preserve">符合相应规定或要求</w:t>
            </w:r>
            <w:r>
              <w:rPr>
                <w:rFonts w:hint="eastAsia"/>
              </w:rPr>
              <w:t xml:space="preserve">，并提供证明文件电子件：</w:t>
            </w:r>
            <w:r/>
          </w:p>
          <w:p>
            <w:pPr>
              <w:rPr>
                <w:rFonts w:hint="eastAsia"/>
              </w:rPr>
            </w:pPr>
            <w:r>
              <w:t xml:space="preserve">采购的产品若属于《节能产品政府采购品目清单》范围中政府强制采购产品，则投标人所报产品必须获得国家确定的认证机构出具的、处于有效期之内的节能产品认证证书；</w:t>
            </w:r>
            <w:r/>
          </w:p>
        </w:tc>
        <w:tc>
          <w:tcPr>
            <w:tcW w:w="923" w:type="pct"/>
            <w:vAlign w:val="center"/>
            <w:textDirection w:val="lrTb"/>
            <w:noWrap w:val="false"/>
          </w:tcPr>
          <w:p>
            <w:pPr>
              <w:rPr>
                <w:rFonts w:hint="eastAsia"/>
              </w:rPr>
            </w:pPr>
            <w:r>
              <w:rPr>
                <w:rFonts w:hint="eastAsia"/>
              </w:rPr>
            </w:r>
            <w:r/>
          </w:p>
        </w:tc>
      </w:tr>
      <w:tr>
        <w:trPr>
          <w:jc w:val="center"/>
          <w:trHeight w:val="685"/>
        </w:trPr>
        <w:tc>
          <w:tcPr>
            <w:tcW w:w="482" w:type="pct"/>
            <w:vAlign w:val="center"/>
            <w:textDirection w:val="lrTb"/>
            <w:noWrap w:val="false"/>
          </w:tcPr>
          <w:p>
            <w:pPr>
              <w:jc w:val="center"/>
              <w:rPr>
                <w:rFonts w:hint="eastAsia"/>
              </w:rPr>
            </w:pPr>
            <w:r>
              <w:t xml:space="preserve">15</w:t>
            </w:r>
            <w:r/>
          </w:p>
        </w:tc>
        <w:tc>
          <w:tcPr>
            <w:tcW w:w="947" w:type="pct"/>
            <w:vAlign w:val="center"/>
            <w:textDirection w:val="lrTb"/>
            <w:noWrap w:val="false"/>
          </w:tcPr>
          <w:p>
            <w:pPr>
              <w:rPr>
                <w:rFonts w:hint="eastAsia"/>
              </w:rPr>
            </w:pPr>
            <w:r>
              <w:t xml:space="preserve">公平竞争</w:t>
            </w:r>
            <w:r/>
          </w:p>
        </w:tc>
        <w:tc>
          <w:tcPr>
            <w:tcW w:w="2649" w:type="pct"/>
            <w:vAlign w:val="center"/>
            <w:textDirection w:val="lrTb"/>
            <w:noWrap w:val="false"/>
          </w:tcPr>
          <w:p>
            <w:pPr>
              <w:rPr>
                <w:rFonts w:hint="eastAsia"/>
              </w:rPr>
            </w:pPr>
            <w:r>
              <w:t xml:space="preserve">投标人遵循公平竞争的原则，不存在恶意串通，妨碍其他投标人的竞争行为，不存在损害采购人或者其他投标人的合法权益情形的；</w:t>
            </w:r>
            <w:r/>
          </w:p>
        </w:tc>
        <w:tc>
          <w:tcPr>
            <w:tcW w:w="923" w:type="pct"/>
            <w:vAlign w:val="center"/>
            <w:textDirection w:val="lrTb"/>
            <w:noWrap w:val="false"/>
          </w:tcPr>
          <w:p>
            <w:pPr>
              <w:rPr>
                <w:rFonts w:hint="eastAsia"/>
              </w:rPr>
            </w:pPr>
            <w:r>
              <w:rPr>
                <w:rFonts w:hint="eastAsia"/>
              </w:rPr>
            </w:r>
            <w:r/>
          </w:p>
        </w:tc>
      </w:tr>
      <w:tr>
        <w:trPr>
          <w:jc w:val="center"/>
          <w:trHeight w:val="685"/>
        </w:trPr>
        <w:tc>
          <w:tcPr>
            <w:tcW w:w="482" w:type="pct"/>
            <w:vAlign w:val="center"/>
            <w:textDirection w:val="lrTb"/>
            <w:noWrap w:val="false"/>
          </w:tcPr>
          <w:p>
            <w:pPr>
              <w:jc w:val="center"/>
              <w:rPr>
                <w:rFonts w:hint="eastAsia"/>
              </w:rPr>
            </w:pPr>
            <w:r>
              <w:t xml:space="preserve">16</w:t>
            </w:r>
            <w:r/>
          </w:p>
        </w:tc>
        <w:tc>
          <w:tcPr>
            <w:tcW w:w="947" w:type="pct"/>
            <w:vAlign w:val="center"/>
            <w:textDirection w:val="lrTb"/>
            <w:noWrap w:val="false"/>
          </w:tcPr>
          <w:p>
            <w:pPr>
              <w:rPr>
                <w:rFonts w:hint="eastAsia"/>
              </w:rPr>
            </w:pPr>
            <w:r>
              <w:t xml:space="preserve">串通投标</w:t>
            </w:r>
            <w:r/>
          </w:p>
        </w:tc>
        <w:tc>
          <w:tcPr>
            <w:tcW w:w="2649" w:type="pct"/>
            <w:vAlign w:val="center"/>
            <w:textDirection w:val="lrTb"/>
            <w:noWrap w:val="false"/>
          </w:tcPr>
          <w:p>
            <w:pPr>
              <w:rPr>
                <w:rFonts w:hint="eastAsia"/>
              </w:rPr>
            </w:pPr>
            <w:r>
              <w:rPr>
                <w:rFonts w:hint="eastAsia"/>
              </w:rPr>
              <w:t xml:space="preserve">不存在《政府采购货物和服务招标投标管理办法》视为投标人串通投标的情形：（一）不同投标人的投标文件由同一单位或者个人编制（包含使用同一MAC地址的计算机制作电子响应文件的情形）；（二）不同投标人委托同一单位或者个人办理投标事宜（包含使用同一MAC地址的计算机提交或者解密电子响应文件的情形）；（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t xml:space="preserve">；</w:t>
            </w:r>
            <w:r/>
          </w:p>
        </w:tc>
        <w:tc>
          <w:tcPr>
            <w:tcW w:w="923" w:type="pct"/>
            <w:vAlign w:val="center"/>
            <w:textDirection w:val="lrTb"/>
            <w:noWrap w:val="false"/>
          </w:tcPr>
          <w:p>
            <w:pPr>
              <w:rPr>
                <w:rFonts w:hint="eastAsia"/>
              </w:rPr>
            </w:pPr>
            <w:r>
              <w:rPr>
                <w:rFonts w:hint="eastAsia"/>
              </w:rPr>
            </w:r>
            <w:r/>
          </w:p>
        </w:tc>
      </w:tr>
      <w:tr>
        <w:trPr>
          <w:jc w:val="center"/>
          <w:trHeight w:val="685"/>
        </w:trPr>
        <w:tc>
          <w:tcPr>
            <w:tcW w:w="482" w:type="pct"/>
            <w:vAlign w:val="center"/>
            <w:textDirection w:val="lrTb"/>
            <w:noWrap w:val="false"/>
          </w:tcPr>
          <w:p>
            <w:pPr>
              <w:jc w:val="center"/>
              <w:rPr>
                <w:rFonts w:hint="eastAsia"/>
              </w:rPr>
            </w:pPr>
            <w:r>
              <w:t xml:space="preserve">17</w:t>
            </w:r>
            <w:r/>
          </w:p>
        </w:tc>
        <w:tc>
          <w:tcPr>
            <w:tcW w:w="947" w:type="pct"/>
            <w:vAlign w:val="center"/>
            <w:textDirection w:val="lrTb"/>
            <w:noWrap w:val="false"/>
          </w:tcPr>
          <w:p>
            <w:pPr>
              <w:rPr>
                <w:rFonts w:hint="eastAsia"/>
              </w:rPr>
            </w:pPr>
            <w:r>
              <w:t xml:space="preserve">附加条件</w:t>
            </w:r>
            <w:r/>
          </w:p>
        </w:tc>
        <w:tc>
          <w:tcPr>
            <w:tcW w:w="2649" w:type="pct"/>
            <w:vAlign w:val="center"/>
            <w:textDirection w:val="lrTb"/>
            <w:noWrap w:val="false"/>
          </w:tcPr>
          <w:p>
            <w:pPr>
              <w:rPr>
                <w:rFonts w:hint="eastAsia"/>
              </w:rPr>
            </w:pPr>
            <w:r>
              <w:t xml:space="preserve">投标文件</w:t>
            </w:r>
            <w:r>
              <w:rPr>
                <w:rFonts w:hint="eastAsia"/>
              </w:rPr>
              <w:t xml:space="preserve">未</w:t>
            </w:r>
            <w:r>
              <w:t xml:space="preserve">含有采购人不能接受的附加条件的；</w:t>
            </w:r>
            <w:r/>
          </w:p>
        </w:tc>
        <w:tc>
          <w:tcPr>
            <w:tcW w:w="923" w:type="pct"/>
            <w:vAlign w:val="center"/>
            <w:textDirection w:val="lrTb"/>
            <w:noWrap w:val="false"/>
          </w:tcPr>
          <w:p>
            <w:pPr>
              <w:rPr>
                <w:rFonts w:hint="eastAsia"/>
              </w:rPr>
            </w:pPr>
            <w:r>
              <w:rPr>
                <w:rFonts w:hint="eastAsia"/>
              </w:rPr>
            </w:r>
            <w:r/>
          </w:p>
        </w:tc>
      </w:tr>
      <w:tr>
        <w:trPr>
          <w:jc w:val="center"/>
          <w:trHeight w:val="685"/>
        </w:trPr>
        <w:tc>
          <w:tcPr>
            <w:tcW w:w="482" w:type="pct"/>
            <w:vAlign w:val="center"/>
            <w:textDirection w:val="lrTb"/>
            <w:noWrap w:val="false"/>
          </w:tcPr>
          <w:p>
            <w:pPr>
              <w:jc w:val="center"/>
              <w:rPr>
                <w:rFonts w:hint="eastAsia"/>
              </w:rPr>
            </w:pPr>
            <w:r>
              <w:rPr>
                <w:rFonts w:hint="eastAsia"/>
              </w:rPr>
              <w:t xml:space="preserve">1</w:t>
            </w:r>
            <w:r>
              <w:t xml:space="preserve">8</w:t>
            </w:r>
            <w:r/>
          </w:p>
        </w:tc>
        <w:tc>
          <w:tcPr>
            <w:tcW w:w="947" w:type="pct"/>
            <w:vAlign w:val="center"/>
            <w:textDirection w:val="lrTb"/>
            <w:noWrap w:val="false"/>
          </w:tcPr>
          <w:p>
            <w:pPr>
              <w:rPr>
                <w:rFonts w:hint="eastAsia"/>
              </w:rPr>
            </w:pPr>
            <w:r>
              <w:t xml:space="preserve">其他无效情形</w:t>
            </w:r>
            <w:r/>
          </w:p>
        </w:tc>
        <w:tc>
          <w:tcPr>
            <w:tcW w:w="2649" w:type="pct"/>
            <w:vAlign w:val="center"/>
            <w:textDirection w:val="lrTb"/>
            <w:noWrap w:val="false"/>
          </w:tcPr>
          <w:p>
            <w:pPr>
              <w:rPr>
                <w:rFonts w:hint="eastAsia"/>
              </w:rPr>
            </w:pPr>
            <w:r>
              <w:t xml:space="preserve">投标人、投标文件</w:t>
            </w:r>
            <w:r>
              <w:rPr>
                <w:rFonts w:hint="eastAsia"/>
              </w:rPr>
              <w:t xml:space="preserve">不存在</w:t>
            </w:r>
            <w:r>
              <w:t xml:space="preserve">不符合法律、法规和招标文件规定的其他无效情形。</w:t>
            </w:r>
            <w:r/>
          </w:p>
        </w:tc>
        <w:tc>
          <w:tcPr>
            <w:tcW w:w="923" w:type="pct"/>
            <w:vAlign w:val="center"/>
            <w:textDirection w:val="lrTb"/>
            <w:noWrap w:val="false"/>
          </w:tcPr>
          <w:p>
            <w:pPr>
              <w:rPr>
                <w:rFonts w:hint="eastAsia"/>
              </w:rPr>
            </w:pPr>
            <w:r>
              <w:rPr>
                <w:rFonts w:hint="eastAsia"/>
              </w:rPr>
            </w:r>
            <w:r/>
          </w:p>
        </w:tc>
      </w:tr>
    </w:tbl>
    <w:p>
      <w:pPr>
        <w:ind w:firstLine="602"/>
        <w:spacing w:line="360" w:lineRule="auto"/>
        <w:tabs>
          <w:tab w:val="left" w:pos="360" w:leader="none"/>
        </w:tabs>
        <w:rPr>
          <w:rFonts w:hint="eastAsia"/>
          <w:b/>
          <w:sz w:val="30"/>
          <w:szCs w:val="30"/>
        </w:rPr>
        <w:outlineLvl w:val="1"/>
      </w:pPr>
      <w:r/>
      <w:bookmarkStart w:id="391" w:name="_Toc152683041"/>
      <w:r/>
      <w:bookmarkStart w:id="392" w:name="_Toc152683400"/>
      <w:r/>
      <w:bookmarkStart w:id="393" w:name="_Toc152683560"/>
      <w:r/>
      <w:bookmarkStart w:id="394" w:name="_Toc197636574"/>
      <w:r/>
      <w:bookmarkStart w:id="395" w:name="_Toc197636625"/>
      <w:r>
        <w:rPr>
          <w:rFonts w:hint="eastAsia"/>
          <w:b/>
          <w:sz w:val="30"/>
          <w:szCs w:val="30"/>
        </w:rPr>
        <w:t xml:space="preserve">二、</w:t>
      </w:r>
      <w:r>
        <w:rPr>
          <w:b/>
          <w:sz w:val="30"/>
          <w:szCs w:val="30"/>
        </w:rPr>
        <w:t xml:space="preserve">投标文件有关事项的澄清或者说明</w:t>
      </w:r>
      <w:bookmarkEnd w:id="391"/>
      <w:r/>
      <w:bookmarkEnd w:id="392"/>
      <w:r/>
      <w:bookmarkEnd w:id="393"/>
      <w:r/>
      <w:bookmarkEnd w:id="394"/>
      <w:r/>
      <w:bookmarkEnd w:id="395"/>
      <w:r/>
      <w:r/>
    </w:p>
    <w:p>
      <w:pPr>
        <w:ind w:firstLine="480"/>
        <w:spacing w:line="360" w:lineRule="auto"/>
        <w:tabs>
          <w:tab w:val="left" w:pos="1080" w:leader="none"/>
          <w:tab w:val="left" w:pos="1589" w:leader="none"/>
        </w:tabs>
        <w:rPr>
          <w:rFonts w:hint="eastAsia"/>
        </w:rPr>
      </w:pPr>
      <w:r>
        <w:rPr>
          <w:rFonts w:cs="Symbol"/>
        </w:rPr>
        <w:t xml:space="preserve">（一）</w:t>
      </w:r>
      <w:r>
        <w:t xml:space="preserve">评标过程中，评标委员会将</w:t>
      </w:r>
      <w:r>
        <w:rPr>
          <w:rFonts w:hint="eastAsia"/>
        </w:rPr>
        <w:t xml:space="preserve">通过</w:t>
      </w:r>
      <w:r>
        <w:rPr>
          <w:rFonts w:hint="eastAsia"/>
        </w:rPr>
        <w:t xml:space="preserve">苏</w:t>
      </w:r>
      <w:r>
        <w:rPr>
          <w:rFonts w:hint="eastAsia"/>
        </w:rPr>
        <w:t xml:space="preserve">采</w:t>
      </w:r>
      <w:r>
        <w:rPr>
          <w:rFonts w:hint="eastAsia"/>
        </w:rPr>
        <w:t xml:space="preserve">云系统</w:t>
      </w:r>
      <w: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rPr>
        <w:t xml:space="preserve">电子</w:t>
      </w:r>
      <w:r>
        <w:t xml:space="preserve">公章。投标人的澄清、说明或者补正不得超出投标文件的范围或者改变投标文件的实质性内容。澄清文件将作为投标文件内容的一部分。</w:t>
      </w:r>
      <w:r/>
    </w:p>
    <w:p>
      <w:pPr>
        <w:ind w:firstLine="480"/>
        <w:spacing w:line="360" w:lineRule="auto"/>
        <w:tabs>
          <w:tab w:val="left" w:pos="1080" w:leader="none"/>
          <w:tab w:val="left" w:pos="1589" w:leader="none"/>
        </w:tabs>
        <w:rPr>
          <w:rFonts w:hint="eastAsia"/>
        </w:rPr>
      </w:pPr>
      <w:r>
        <w:rPr>
          <w:rFonts w:cs="Symbol"/>
        </w:rPr>
        <w:t xml:space="preserve">（二）</w:t>
      </w:r>
      <w:r>
        <w:t xml:space="preserve">评标委员会认为投标人的报价明显低于其他通过符合性审查投标人的报价，有可能影响产品质量或者不能诚信履约的，有权要求该投标人在</w:t>
      </w:r>
      <w:r>
        <w:rPr>
          <w:rFonts w:hint="eastAsia"/>
        </w:rPr>
        <w:t xml:space="preserve">规定</w:t>
      </w:r>
      <w:r>
        <w:t xml:space="preserve">的时间内提供书面说明，必要时提交相关证明材料；若投标人不能证明其报价合理性，评标委员会将其作为</w:t>
      </w:r>
      <w:r>
        <w:rPr>
          <w:b/>
        </w:rPr>
        <w:t xml:space="preserve">无效投标处理</w:t>
      </w:r>
      <w:r/>
    </w:p>
    <w:p>
      <w:pPr>
        <w:ind w:firstLine="480"/>
        <w:spacing w:line="360" w:lineRule="auto"/>
        <w:tabs>
          <w:tab w:val="left" w:pos="1080" w:leader="none"/>
          <w:tab w:val="left" w:pos="1589" w:leader="none"/>
        </w:tabs>
        <w:rPr>
          <w:rFonts w:hint="eastAsia"/>
        </w:rPr>
      </w:pPr>
      <w:r>
        <w:rPr>
          <w:rFonts w:cs="Symbol"/>
        </w:rPr>
        <w:t xml:space="preserve">（三）</w:t>
      </w:r>
      <w:r>
        <w:t xml:space="preserve">投标报价须包含招标文件全部内容，如</w:t>
      </w:r>
      <w:r>
        <w:t xml:space="preserve">报价明细表</w:t>
      </w:r>
      <w:r>
        <w:t xml:space="preserve">有缺漏视为已含在其他各项报价中，将不对投标总价进行调整。评标委员会有权要求投标人在</w:t>
      </w:r>
      <w:r>
        <w:rPr>
          <w:rFonts w:hint="eastAsia"/>
        </w:rPr>
        <w:t xml:space="preserve">规定</w:t>
      </w:r>
      <w:r>
        <w:t xml:space="preserve">的时间内对此进行书面确认，投标人不确认的，视为将一个采购包中的内容拆开投标，其</w:t>
      </w:r>
      <w:r>
        <w:rPr>
          <w:b/>
        </w:rPr>
        <w:t xml:space="preserve">投标无效</w:t>
      </w:r>
      <w:r>
        <w:t xml:space="preserve">。</w:t>
      </w:r>
      <w:r/>
    </w:p>
    <w:p>
      <w:pPr>
        <w:ind w:firstLine="480"/>
        <w:spacing w:line="360" w:lineRule="auto"/>
        <w:tabs>
          <w:tab w:val="left" w:pos="1080" w:leader="none"/>
          <w:tab w:val="left" w:pos="1589" w:leader="none"/>
        </w:tabs>
        <w:rPr>
          <w:rFonts w:hint="eastAsia"/>
        </w:rPr>
      </w:pPr>
      <w:r>
        <w:rPr>
          <w:rFonts w:cs="Symbol"/>
        </w:rPr>
        <w:t xml:space="preserve">（四）</w:t>
      </w:r>
      <w:r>
        <w:t xml:space="preserve">投标文件报价出现前后不一致的，按照</w:t>
      </w:r>
      <w:r>
        <w:rPr>
          <w:rFonts w:hint="eastAsia"/>
        </w:rPr>
        <w:t xml:space="preserve">第二章2</w:t>
      </w:r>
      <w:r>
        <w:t xml:space="preserve">6.4</w:t>
      </w:r>
      <w:r>
        <w:rPr>
          <w:rFonts w:hint="eastAsia"/>
        </w:rPr>
        <w:t xml:space="preserve">之</w:t>
      </w:r>
      <w:r>
        <w:t xml:space="preserve">规定</w:t>
      </w:r>
      <w:r>
        <w:rPr>
          <w:rFonts w:hint="eastAsia"/>
        </w:rPr>
        <w:t xml:space="preserve">处理，</w:t>
      </w:r>
      <w:r>
        <w:t xml:space="preserve">修正后的报价经投标人书面确认后产生约束力，投标人不确认的，其</w:t>
      </w:r>
      <w:r>
        <w:rPr>
          <w:b/>
        </w:rPr>
        <w:t xml:space="preserve">投标无效</w:t>
      </w:r>
      <w:r>
        <w:t xml:space="preserve">。</w:t>
      </w:r>
      <w:r/>
    </w:p>
    <w:p>
      <w:pPr>
        <w:ind w:firstLine="480"/>
        <w:spacing w:line="360" w:lineRule="auto"/>
        <w:tabs>
          <w:tab w:val="left" w:pos="1080" w:leader="none"/>
          <w:tab w:val="left" w:pos="1589" w:leader="none"/>
        </w:tabs>
        <w:rPr>
          <w:rFonts w:hint="eastAsia"/>
        </w:rPr>
      </w:pPr>
      <w:r>
        <w:rPr>
          <w:rFonts w:cs="Symbol"/>
        </w:rPr>
        <w:t xml:space="preserve">（五）</w:t>
      </w:r>
      <w:r>
        <w:t xml:space="preserve">落实政府采购政策的价格调整：</w:t>
      </w:r>
      <w:bookmarkStart w:id="396" w:name="_Hlk149904856"/>
      <w:r>
        <w:rPr>
          <w:rFonts w:hint="eastAsia"/>
        </w:rPr>
        <w:t xml:space="preserve">详见第三节评标办法中的</w:t>
      </w:r>
      <w:r>
        <w:rPr>
          <w:rFonts w:hint="eastAsia"/>
          <w:b/>
        </w:rPr>
        <w:t xml:space="preserve">政府采购政策功能落实。</w:t>
      </w:r>
      <w:r/>
    </w:p>
    <w:p>
      <w:pPr>
        <w:ind w:firstLine="602"/>
        <w:spacing w:line="360" w:lineRule="auto"/>
        <w:tabs>
          <w:tab w:val="left" w:pos="360" w:leader="none"/>
        </w:tabs>
        <w:rPr>
          <w:rFonts w:hint="eastAsia"/>
          <w:b/>
          <w:sz w:val="30"/>
          <w:szCs w:val="30"/>
        </w:rPr>
        <w:outlineLvl w:val="1"/>
      </w:pPr>
      <w:r/>
      <w:bookmarkStart w:id="397" w:name="_Toc152683042"/>
      <w:r/>
      <w:bookmarkStart w:id="398" w:name="_Toc152683401"/>
      <w:r/>
      <w:bookmarkStart w:id="399" w:name="_Toc152683561"/>
      <w:r/>
      <w:bookmarkStart w:id="400" w:name="_Toc197636575"/>
      <w:r/>
      <w:bookmarkStart w:id="401" w:name="_Toc197636626"/>
      <w:r/>
      <w:bookmarkEnd w:id="396"/>
      <w:r>
        <w:rPr>
          <w:rFonts w:hint="eastAsia"/>
          <w:b/>
          <w:sz w:val="30"/>
          <w:szCs w:val="30"/>
        </w:rPr>
        <w:t xml:space="preserve">三、</w:t>
      </w:r>
      <w:r>
        <w:rPr>
          <w:b/>
          <w:sz w:val="30"/>
          <w:szCs w:val="30"/>
        </w:rPr>
        <w:t xml:space="preserve">投标文件的比较和评价</w:t>
      </w:r>
      <w:bookmarkEnd w:id="397"/>
      <w:r/>
      <w:bookmarkEnd w:id="398"/>
      <w:r/>
      <w:bookmarkEnd w:id="399"/>
      <w:r/>
      <w:bookmarkEnd w:id="400"/>
      <w:r/>
      <w:bookmarkEnd w:id="401"/>
      <w:r/>
      <w:r/>
    </w:p>
    <w:p>
      <w:pPr>
        <w:ind w:firstLine="480"/>
        <w:spacing w:line="360" w:lineRule="auto"/>
        <w:tabs>
          <w:tab w:val="left" w:pos="1080" w:leader="none"/>
          <w:tab w:val="left" w:pos="1589" w:leader="none"/>
        </w:tabs>
        <w:rPr>
          <w:rFonts w:hint="eastAsia"/>
        </w:rPr>
      </w:pPr>
      <w:r>
        <w:rPr>
          <w:rFonts w:cs="Symbol"/>
        </w:rPr>
        <w:t xml:space="preserve">（一）</w:t>
      </w:r>
      <w:r>
        <w:t xml:space="preserve">评标委员会将按照招标文件中规定的评标方法和标准，对符合性审查合格的投标文件进行商务和技术评估，综合比较与评价；未通过符合性审查的投标文件不得进入比较与评价。</w:t>
      </w:r>
      <w:r/>
    </w:p>
    <w:p>
      <w:pPr>
        <w:ind w:firstLine="480"/>
        <w:spacing w:line="360" w:lineRule="auto"/>
        <w:tabs>
          <w:tab w:val="left" w:pos="1080" w:leader="none"/>
          <w:tab w:val="left" w:pos="1589" w:leader="none"/>
        </w:tabs>
        <w:rPr>
          <w:rFonts w:hint="eastAsia"/>
        </w:rPr>
      </w:pPr>
      <w:r>
        <w:rPr>
          <w:rFonts w:cs="Symbol"/>
        </w:rPr>
        <w:t xml:space="preserve">（二）</w:t>
      </w:r>
      <w:r>
        <w:t xml:space="preserve">评标方法和评标标准</w:t>
      </w:r>
      <w:r/>
    </w:p>
    <w:p>
      <w:pPr>
        <w:ind w:firstLine="480"/>
        <w:spacing w:line="360" w:lineRule="auto"/>
        <w:rPr>
          <w:rFonts w:hint="eastAsia"/>
        </w:rPr>
      </w:pPr>
      <w:r>
        <w:t xml:space="preserve">1</w:t>
      </w:r>
      <w:r>
        <w:rPr>
          <w:rFonts w:hint="eastAsia"/>
        </w:rPr>
        <w:t xml:space="preserve">、</w:t>
      </w:r>
      <w:r>
        <w:t xml:space="preserve">本项目采用的评标方法详见《</w:t>
      </w:r>
      <w:r>
        <w:rPr>
          <w:rFonts w:hint="eastAsia"/>
        </w:rPr>
        <w:t xml:space="preserve">第三节 评标方法</w:t>
      </w:r>
      <w:r>
        <w:t xml:space="preserve">》</w:t>
      </w:r>
      <w:r>
        <w:rPr>
          <w:rFonts w:hint="eastAsia"/>
        </w:rPr>
        <w:t xml:space="preserve">，</w:t>
      </w:r>
      <w:r>
        <w:t xml:space="preserve">本项目采用的评标标准详见《</w:t>
      </w:r>
      <w:r>
        <w:rPr>
          <w:rFonts w:hint="eastAsia"/>
        </w:rPr>
        <w:t xml:space="preserve">第四节 评标标准</w:t>
      </w:r>
      <w:r>
        <w:t xml:space="preserve">》</w:t>
      </w:r>
      <w:r>
        <w:rPr>
          <w:rFonts w:hint="eastAsia"/>
        </w:rPr>
        <w:t xml:space="preserve">。</w:t>
      </w:r>
      <w:r/>
    </w:p>
    <w:p>
      <w:pPr>
        <w:ind w:firstLine="602"/>
        <w:spacing w:line="360" w:lineRule="auto"/>
        <w:tabs>
          <w:tab w:val="left" w:pos="360" w:leader="none"/>
        </w:tabs>
        <w:rPr>
          <w:rFonts w:hint="eastAsia"/>
          <w:b/>
          <w:sz w:val="30"/>
          <w:szCs w:val="30"/>
        </w:rPr>
        <w:outlineLvl w:val="1"/>
      </w:pPr>
      <w:r/>
      <w:bookmarkStart w:id="402" w:name="_Toc152683043"/>
      <w:r/>
      <w:bookmarkStart w:id="403" w:name="_Toc152683402"/>
      <w:r/>
      <w:bookmarkStart w:id="404" w:name="_Toc152683562"/>
      <w:r/>
      <w:bookmarkStart w:id="405" w:name="_Toc197636576"/>
      <w:r/>
      <w:bookmarkStart w:id="406" w:name="_Toc197636627"/>
      <w:r>
        <w:rPr>
          <w:rFonts w:hint="eastAsia"/>
          <w:b/>
          <w:sz w:val="30"/>
          <w:szCs w:val="30"/>
        </w:rPr>
        <w:t xml:space="preserve">四、</w:t>
      </w:r>
      <w:r>
        <w:rPr>
          <w:b/>
          <w:sz w:val="30"/>
          <w:szCs w:val="30"/>
        </w:rPr>
        <w:t xml:space="preserve">确定</w:t>
      </w:r>
      <w:bookmarkStart w:id="407" w:name="_Toc149720839"/>
      <w:r/>
      <w:bookmarkStart w:id="408" w:name="_Toc127151747"/>
      <w:r/>
      <w:bookmarkStart w:id="409" w:name="_Toc164229387"/>
      <w:r/>
      <w:bookmarkStart w:id="410" w:name="_Toc127161460"/>
      <w:r/>
      <w:bookmarkStart w:id="411" w:name="_Toc520356170"/>
      <w:r/>
      <w:bookmarkStart w:id="412" w:name="_Toc150774646"/>
      <w:r/>
      <w:bookmarkStart w:id="413" w:name="_Toc150480784"/>
      <w:r/>
      <w:bookmarkStart w:id="414" w:name="_Toc226965819"/>
      <w:r/>
      <w:bookmarkStart w:id="415" w:name="_Toc164608660"/>
      <w:r/>
      <w:bookmarkStart w:id="416" w:name="_Toc127151546"/>
      <w:r/>
      <w:bookmarkStart w:id="417" w:name="_Toc151193644"/>
      <w:r/>
      <w:bookmarkStart w:id="418" w:name="_Toc305158814"/>
      <w:r/>
      <w:bookmarkStart w:id="419" w:name="_Toc226965736"/>
      <w:r/>
      <w:bookmarkStart w:id="420" w:name="_Toc151193788"/>
      <w:r/>
      <w:bookmarkStart w:id="421" w:name="_Toc305158888"/>
      <w:r/>
      <w:bookmarkStart w:id="422" w:name="_Toc151190173"/>
      <w:r/>
      <w:bookmarkStart w:id="423" w:name="_Toc164351640"/>
      <w:r/>
      <w:bookmarkStart w:id="424" w:name="_Toc226309790"/>
      <w:r/>
      <w:bookmarkStart w:id="425" w:name="_Toc265228384"/>
      <w:r/>
      <w:bookmarkStart w:id="426" w:name="_Toc195842911"/>
      <w:r/>
      <w:bookmarkStart w:id="427" w:name="_Toc151193716"/>
      <w:r/>
      <w:bookmarkStart w:id="428" w:name="_Toc164229241"/>
      <w:r/>
      <w:bookmarkStart w:id="429" w:name="_Toc164608815"/>
      <w:r/>
      <w:bookmarkStart w:id="430" w:name="_Toc226337242"/>
      <w:r/>
      <w:bookmarkStart w:id="431" w:name="_Toc151193860"/>
      <w:r/>
      <w:bookmarkStart w:id="432" w:name="_Toc150774751"/>
      <w:r/>
      <w:bookmarkStart w:id="433" w:name="_Toc142311048"/>
      <w:r/>
      <w:bookmarkStart w:id="434" w:name="_Toc264969236"/>
      <w:r/>
      <w:bookmarkStart w:id="435" w:name="_Toc150509297"/>
      <w:r/>
      <w:bookmarkStart w:id="436" w:name="_Toc151193934"/>
      <w:r/>
      <w:bookmarkStart w:id="437" w:name="_Ref467307010"/>
      <w:r>
        <w:rPr>
          <w:b/>
          <w:sz w:val="30"/>
          <w:szCs w:val="30"/>
        </w:rPr>
        <w:t xml:space="preserve">中标候选人名单</w:t>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r/>
    </w:p>
    <w:p>
      <w:pPr>
        <w:ind w:firstLine="480"/>
        <w:spacing w:line="360" w:lineRule="auto"/>
        <w:tabs>
          <w:tab w:val="left" w:pos="1080" w:leader="none"/>
          <w:tab w:val="left" w:pos="1589" w:leader="none"/>
        </w:tabs>
        <w:rPr>
          <w:rFonts w:hint="eastAsia"/>
        </w:rPr>
      </w:pPr>
      <w:r>
        <w:rPr>
          <w:rFonts w:cs="Symbol"/>
        </w:rPr>
        <w:t xml:space="preserve">（一）</w:t>
      </w:r>
      <w:r>
        <w:t xml:space="preserve">评标委员会要对评分汇总情况进行复核，特别是对排名第一的、报价最低的、投标或</w:t>
      </w:r>
      <w:r>
        <w:rPr>
          <w:rFonts w:hint="eastAsia"/>
        </w:rPr>
        <w:t xml:space="preserve">响应</w:t>
      </w:r>
      <w:r>
        <w:t xml:space="preserve">文件被认定为无效的情形进行重点复核。</w:t>
      </w:r>
      <w:r/>
    </w:p>
    <w:p>
      <w:pPr>
        <w:ind w:firstLine="480"/>
        <w:spacing w:line="360" w:lineRule="auto"/>
        <w:tabs>
          <w:tab w:val="left" w:pos="1080" w:leader="none"/>
          <w:tab w:val="left" w:pos="1589" w:leader="none"/>
        </w:tabs>
        <w:rPr>
          <w:rFonts w:hint="eastAsia"/>
        </w:rPr>
      </w:pPr>
      <w:r>
        <w:rPr>
          <w:rFonts w:cs="Symbol"/>
        </w:rPr>
        <w:t xml:space="preserve">（二）</w:t>
      </w:r>
      <w:r>
        <w:t xml:space="preserve">评标委员会将根据各投标人的评标排序，依次推荐本项目（</w:t>
      </w:r>
      <w:r>
        <w:rPr>
          <w:rFonts w:hint="eastAsia"/>
        </w:rPr>
        <w:t xml:space="preserve">各</w:t>
      </w:r>
      <w:r>
        <w:t xml:space="preserve">采购包）的中标候选人，起草并签署评标报告。本项目（</w:t>
      </w:r>
      <w:r>
        <w:rPr>
          <w:rFonts w:hint="eastAsia"/>
        </w:rPr>
        <w:t xml:space="preserve">各标段或</w:t>
      </w:r>
      <w:r>
        <w:t xml:space="preserve">采购包）评标委员会共（各）推荐</w:t>
      </w:r>
      <w:r>
        <w:rPr>
          <w:rFonts w:hint="eastAsia"/>
        </w:rPr>
        <w:t xml:space="preserve">不少于3</w:t>
      </w:r>
      <w:r>
        <w:t xml:space="preserve">名中标候选人。</w:t>
      </w:r>
      <w:r/>
    </w:p>
    <w:p>
      <w:pPr>
        <w:ind w:firstLine="602"/>
        <w:spacing w:line="360" w:lineRule="auto"/>
        <w:tabs>
          <w:tab w:val="left" w:pos="360" w:leader="none"/>
        </w:tabs>
        <w:rPr>
          <w:rFonts w:hint="eastAsia"/>
          <w:b/>
          <w:sz w:val="30"/>
          <w:szCs w:val="30"/>
        </w:rPr>
        <w:outlineLvl w:val="1"/>
      </w:pPr>
      <w:r/>
      <w:bookmarkStart w:id="438" w:name="_Toc152683044"/>
      <w:r/>
      <w:bookmarkStart w:id="439" w:name="_Toc152683403"/>
      <w:r/>
      <w:bookmarkStart w:id="440" w:name="_Toc152683563"/>
      <w:r/>
      <w:bookmarkStart w:id="441" w:name="_Toc197636577"/>
      <w:r/>
      <w:bookmarkStart w:id="442" w:name="_Toc197636628"/>
      <w:r>
        <w:rPr>
          <w:rFonts w:hint="eastAsia"/>
          <w:b/>
          <w:sz w:val="30"/>
          <w:szCs w:val="30"/>
        </w:rPr>
        <w:t xml:space="preserve">五、</w:t>
      </w:r>
      <w:r>
        <w:rPr>
          <w:b/>
          <w:sz w:val="30"/>
          <w:szCs w:val="30"/>
        </w:rPr>
        <w:t xml:space="preserve">报告违法行为</w:t>
      </w:r>
      <w:bookmarkEnd w:id="438"/>
      <w:r/>
      <w:bookmarkEnd w:id="439"/>
      <w:r/>
      <w:bookmarkEnd w:id="440"/>
      <w:r/>
      <w:bookmarkEnd w:id="441"/>
      <w:r/>
      <w:bookmarkEnd w:id="442"/>
      <w:r/>
      <w:r/>
    </w:p>
    <w:p>
      <w:pPr>
        <w:ind w:firstLine="480"/>
        <w:spacing w:line="360" w:lineRule="auto"/>
        <w:tabs>
          <w:tab w:val="left" w:pos="1080" w:leader="none"/>
          <w:tab w:val="left" w:pos="1589" w:leader="none"/>
        </w:tabs>
        <w:rPr>
          <w:rFonts w:hint="eastAsia"/>
        </w:rPr>
      </w:pPr>
      <w:r>
        <w:rPr>
          <w:rFonts w:cs="Symbol"/>
        </w:rPr>
        <w:t xml:space="preserve">（一）</w:t>
      </w:r>
      <w:r>
        <w:t xml:space="preserve">评标委员会在评标过程中发现投标人有行贿、提供虚假材料或者串通等违法行为时，有向采购人、采购代理机构或者有关部门报告的职责。</w:t>
      </w:r>
      <w:r/>
    </w:p>
    <w:p>
      <w:pPr>
        <w:pStyle w:val="907"/>
        <w:rPr>
          <w:rFonts w:hint="eastAsia" w:ascii="宋体" w:hAnsi="宋体"/>
          <w:color w:val="auto"/>
        </w:rPr>
      </w:pPr>
      <w:r>
        <w:rPr>
          <w:rFonts w:hint="eastAsia" w:ascii="宋体" w:hAnsi="宋体"/>
          <w:color w:val="auto"/>
        </w:rPr>
      </w:r>
      <w:r/>
    </w:p>
    <w:p>
      <w:pPr>
        <w:jc w:val="center"/>
        <w:spacing w:line="360" w:lineRule="auto"/>
        <w:rPr>
          <w:rFonts w:hint="eastAsia"/>
          <w:b/>
          <w:bCs/>
          <w:sz w:val="32"/>
          <w:szCs w:val="32"/>
        </w:rPr>
      </w:pPr>
      <w:r>
        <w:rPr>
          <w:rFonts w:hint="eastAsia"/>
          <w:b/>
          <w:bCs/>
          <w:sz w:val="32"/>
          <w:szCs w:val="32"/>
        </w:rPr>
        <w:t xml:space="preserve">第三节 评标方法</w:t>
      </w:r>
      <w:r/>
    </w:p>
    <w:p>
      <w:pPr>
        <w:ind w:firstLine="482"/>
        <w:spacing w:line="360" w:lineRule="auto"/>
        <w:tabs>
          <w:tab w:val="left" w:pos="360" w:leader="none"/>
        </w:tabs>
        <w:rPr>
          <w:rFonts w:hint="eastAsia"/>
          <w:b/>
        </w:rPr>
        <w:outlineLvl w:val="1"/>
      </w:pPr>
      <w:r/>
      <w:bookmarkStart w:id="443" w:name="_Toc197636578"/>
      <w:r/>
      <w:bookmarkStart w:id="444" w:name="_Toc197636629"/>
      <w:r/>
      <w:bookmarkStart w:id="445" w:name="OLE_LINK12"/>
      <w:r>
        <w:rPr>
          <w:rFonts w:hint="eastAsia"/>
          <w:b/>
        </w:rPr>
        <w:t xml:space="preserve">一、本次评审采用最低评标价法：</w:t>
      </w:r>
      <w:bookmarkStart w:id="446" w:name="_Hlk149904248"/>
      <w:r>
        <w:rPr>
          <w:rFonts w:hint="eastAsia"/>
          <w:b/>
        </w:rPr>
        <w:t xml:space="preserve">是指在投标文件能够满足招标文件全部实质性要求的投标人中，评审出投标报价最低的为第一中标候选人，采购人确认为中标单位。如两家或两家以上投标单位的有效报价相同且都为最低投标报价，则由采购人代表现场对上述报价相同的单位进行随机抽签，抽到的单位即确定为中标单位。</w:t>
      </w:r>
      <w:bookmarkEnd w:id="443"/>
      <w:r/>
      <w:bookmarkEnd w:id="444"/>
      <w:r/>
      <w:r/>
    </w:p>
    <w:p>
      <w:pPr>
        <w:ind w:firstLine="482"/>
        <w:spacing w:line="360" w:lineRule="auto"/>
        <w:tabs>
          <w:tab w:val="left" w:pos="360" w:leader="none"/>
        </w:tabs>
        <w:rPr>
          <w:rFonts w:hint="eastAsia"/>
          <w:b/>
        </w:rPr>
        <w:outlineLvl w:val="1"/>
      </w:pPr>
      <w:r>
        <w:rPr>
          <w:rFonts w:hint="eastAsia"/>
          <w:b/>
        </w:rPr>
        <w:t xml:space="preserve">二、评标、定标顺序及原则：</w:t>
      </w:r>
      <w:r/>
    </w:p>
    <w:p>
      <w:pPr>
        <w:ind w:firstLine="480"/>
        <w:spacing w:line="360" w:lineRule="auto"/>
        <w:rPr>
          <w:rFonts w:hint="eastAsia"/>
        </w:rPr>
      </w:pPr>
      <w:r/>
      <w:bookmarkStart w:id="447" w:name="OLE_LINK24"/>
      <w:r>
        <w:rPr>
          <w:rFonts w:hint="eastAsia"/>
        </w:rPr>
        <w:t xml:space="preserve">本项目共分2个包，每个投标人可以同时投2个包，但同一家单位最多只能中1个包。</w:t>
      </w:r>
      <w:r>
        <w:rPr>
          <w:rFonts w:hint="eastAsia"/>
        </w:rPr>
        <w:t xml:space="preserve">评标、定标顺序依次从二包至一包，</w:t>
      </w:r>
      <w:r>
        <w:rPr>
          <w:rFonts w:hint="eastAsia"/>
        </w:rPr>
        <w:t xml:space="preserve">当出现2个及2个以上包第一中标候选人为同一投标单位时，在前一包作为中标第一候选人的单位，在其余包的中标候选资格自动失效，由该包的第二中标候选人自动升为第一中标候选人。</w:t>
      </w:r>
      <w:r/>
    </w:p>
    <w:p>
      <w:pPr>
        <w:ind w:firstLine="482"/>
        <w:spacing w:line="360" w:lineRule="auto"/>
        <w:tabs>
          <w:tab w:val="left" w:pos="360" w:leader="none"/>
        </w:tabs>
        <w:rPr>
          <w:rFonts w:hint="eastAsia"/>
          <w:b/>
        </w:rPr>
        <w:outlineLvl w:val="1"/>
      </w:pPr>
      <w:r/>
      <w:bookmarkStart w:id="448" w:name="_Toc197636579"/>
      <w:r/>
      <w:bookmarkStart w:id="449" w:name="_Toc197636630"/>
      <w:r/>
      <w:bookmarkEnd w:id="445"/>
      <w:r/>
      <w:bookmarkEnd w:id="447"/>
      <w:r>
        <w:rPr>
          <w:rFonts w:hint="eastAsia"/>
          <w:b/>
        </w:rPr>
        <w:t xml:space="preserve">三、政府采购政策功能落实</w:t>
      </w:r>
      <w:bookmarkEnd w:id="448"/>
      <w:r/>
      <w:bookmarkEnd w:id="449"/>
      <w:r/>
      <w:bookmarkEnd w:id="446"/>
      <w:r/>
    </w:p>
    <w:p>
      <w:pPr>
        <w:ind w:firstLine="480"/>
        <w:spacing w:line="360" w:lineRule="auto"/>
        <w:rPr>
          <w:rFonts w:hint="eastAsia"/>
        </w:rPr>
      </w:pPr>
      <w:r>
        <w:rPr>
          <w:rFonts w:hint="eastAsia"/>
        </w:rPr>
        <w:t xml:space="preserve">1、小微型企业价格扣除</w:t>
      </w:r>
      <w:r/>
    </w:p>
    <w:p>
      <w:pPr>
        <w:ind w:firstLine="480"/>
        <w:spacing w:line="360" w:lineRule="auto"/>
        <w:rPr>
          <w:rFonts w:hint="eastAsia"/>
        </w:rPr>
      </w:pPr>
      <w:r>
        <w:rPr>
          <w:rFonts w:hint="eastAsia"/>
        </w:rPr>
        <w:t xml:space="preserve">（1）供应商需按照采购文件的要求提供相应的《中小企业声明函》。</w:t>
      </w:r>
      <w:r/>
    </w:p>
    <w:p>
      <w:pPr>
        <w:ind w:firstLine="480"/>
        <w:spacing w:line="360" w:lineRule="auto"/>
        <w:rPr>
          <w:rFonts w:hint="eastAsia"/>
        </w:rPr>
      </w:pPr>
      <w:r>
        <w:rPr>
          <w:rFonts w:hint="eastAsia"/>
        </w:rPr>
        <w:t xml:space="preserve">（2）企业标准请参照《关于印发中小企业划型标准规定的通知》（工信部联企业[2011]300号）文件规定自行填写。</w:t>
      </w:r>
      <w:r/>
    </w:p>
    <w:p>
      <w:pPr>
        <w:ind w:firstLine="480"/>
        <w:spacing w:line="360" w:lineRule="auto"/>
        <w:rPr>
          <w:rFonts w:hint="eastAsia"/>
        </w:rPr>
      </w:pPr>
      <w:r>
        <w:rPr>
          <w:rFonts w:hint="eastAsia"/>
        </w:rPr>
        <w:t xml:space="preserve">2、残疾人福利单位价格扣除</w:t>
      </w:r>
      <w:r/>
    </w:p>
    <w:p>
      <w:pPr>
        <w:ind w:firstLine="480"/>
        <w:spacing w:line="360" w:lineRule="auto"/>
        <w:rPr>
          <w:rFonts w:hint="eastAsia"/>
        </w:rPr>
      </w:pPr>
      <w:r>
        <w:rPr>
          <w:rFonts w:hint="eastAsia"/>
        </w:rPr>
        <w:t xml:space="preserve">（1）残疾人福利性单位视同小型、微型企业。</w:t>
      </w:r>
      <w:r/>
    </w:p>
    <w:p>
      <w:pPr>
        <w:ind w:firstLine="480"/>
        <w:spacing w:line="360" w:lineRule="auto"/>
        <w:rPr>
          <w:rFonts w:hint="eastAsia"/>
        </w:rPr>
      </w:pPr>
      <w:r>
        <w:rPr>
          <w:rFonts w:hint="eastAsia"/>
        </w:rPr>
        <w:t xml:space="preserve">（2）残疾人福利单位需按照采购文件的要求提供《残疾人福利性单位声明函》。</w:t>
      </w:r>
      <w:r/>
    </w:p>
    <w:p>
      <w:pPr>
        <w:ind w:firstLine="480"/>
        <w:spacing w:line="360" w:lineRule="auto"/>
        <w:rPr>
          <w:rFonts w:hint="eastAsia"/>
        </w:rPr>
      </w:pPr>
      <w:r>
        <w:rPr>
          <w:rFonts w:hint="eastAsia"/>
        </w:rPr>
        <w:t xml:space="preserve">（3）残疾人福利单位标准请参照《关于促进残疾人就业政府采购政策的通知》（财库〔2017〕141号）。</w:t>
      </w:r>
      <w:r/>
    </w:p>
    <w:p>
      <w:pPr>
        <w:ind w:firstLine="480"/>
        <w:spacing w:line="360" w:lineRule="auto"/>
        <w:rPr>
          <w:rFonts w:hint="eastAsia"/>
        </w:rPr>
      </w:pPr>
      <w:r>
        <w:rPr>
          <w:rFonts w:hint="eastAsia"/>
        </w:rPr>
        <w:t xml:space="preserve">3、监狱和戒毒企业价格扣除</w:t>
      </w:r>
      <w:r/>
    </w:p>
    <w:p>
      <w:pPr>
        <w:ind w:firstLine="480"/>
        <w:spacing w:line="360" w:lineRule="auto"/>
        <w:rPr>
          <w:rFonts w:hint="eastAsia"/>
        </w:rPr>
      </w:pPr>
      <w:r>
        <w:rPr>
          <w:rFonts w:hint="eastAsia"/>
        </w:rPr>
        <w:t xml:space="preserve">（1）监狱和戒毒企业（简称监狱企业）视同小型、微型企业。</w:t>
      </w:r>
      <w:r/>
    </w:p>
    <w:p>
      <w:pPr>
        <w:ind w:firstLine="480"/>
        <w:spacing w:line="360" w:lineRule="auto"/>
        <w:rPr>
          <w:rFonts w:hint="eastAsia"/>
        </w:rPr>
      </w:pPr>
      <w:r>
        <w:rPr>
          <w:rFonts w:hint="eastAsia"/>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spacing w:line="360" w:lineRule="auto"/>
        <w:rPr>
          <w:rFonts w:hint="eastAsia"/>
        </w:rPr>
      </w:pPr>
      <w:r>
        <w:rPr>
          <w:rFonts w:hint="eastAsia"/>
        </w:rPr>
        <w:t xml:space="preserve">（3）监狱企业标准请参照《关于政府采购支持监狱企业发展有关问题的通知》（财库[2014]68号）。</w:t>
      </w:r>
      <w:r/>
    </w:p>
    <w:p>
      <w:pPr>
        <w:ind w:firstLine="480"/>
        <w:spacing w:line="360" w:lineRule="auto"/>
        <w:rPr>
          <w:rFonts w:hint="eastAsia"/>
        </w:rPr>
      </w:pPr>
      <w:r>
        <w:rPr>
          <w:rFonts w:hint="eastAsia"/>
        </w:rPr>
        <w:t xml:space="preserve">4、残疾人福利单位、监狱企业属于小型、微型企业的，不重复享受政策。</w:t>
      </w:r>
      <w:r/>
    </w:p>
    <w:p>
      <w:pPr>
        <w:ind w:firstLine="480"/>
        <w:spacing w:line="360" w:lineRule="auto"/>
        <w:rPr>
          <w:rFonts w:hint="eastAsia"/>
        </w:rPr>
      </w:pPr>
      <w:r>
        <w:rPr>
          <w:rFonts w:hint="eastAsia"/>
        </w:rPr>
        <w:t xml:space="preserve">5、如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ind w:firstLine="480"/>
        <w:spacing w:line="360" w:lineRule="auto"/>
        <w:rPr>
          <w:rFonts w:hint="eastAsia"/>
        </w:rPr>
      </w:pPr>
      <w:r>
        <w:rPr>
          <w:rFonts w:hint="eastAsia"/>
        </w:rPr>
        <w:t xml:space="preserve">6、联合体各方均为小型、微型企业（残疾人福利单位、监狱企业）的，联合体享受20%价格扣除，用扣除后的价格参与评审。</w:t>
      </w:r>
      <w:r/>
    </w:p>
    <w:p>
      <w:pPr>
        <w:ind w:firstLine="480"/>
        <w:spacing w:line="360" w:lineRule="auto"/>
        <w:rPr>
          <w:rFonts w:hint="eastAsia"/>
        </w:rPr>
      </w:pPr>
      <w:r>
        <w:rPr>
          <w:rFonts w:hint="eastAsia"/>
        </w:rPr>
        <w:t xml:space="preserve">7、政府采购中实施本国产品标准及相关政策：</w:t>
      </w:r>
      <w:r/>
    </w:p>
    <w:p>
      <w:pPr>
        <w:ind w:firstLine="480"/>
        <w:spacing w:line="360" w:lineRule="auto"/>
        <w:rPr>
          <w:rFonts w:hint="eastAsia"/>
        </w:rPr>
      </w:pPr>
      <w:r>
        <w:rPr>
          <w:rFonts w:hint="eastAsia"/>
        </w:rPr>
        <w:t xml:space="preserve">7.1、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hint="eastAsia"/>
        </w:rPr>
      </w:pPr>
      <w:r>
        <w:rPr>
          <w:rFonts w:hint="eastAsia"/>
        </w:rPr>
        <w:t xml:space="preserve">7.2、当采购项目中既有本国产品又有非本国产品参与竞争的，供应商为该采购项目提供的符合本国产品标准的产品成本之和占该供应商提供的全部产品成本之和的比例达到80%以上时（注：财政部会同有关行业主管部门，分产品确定在中国境内生产的组件成本占比应当达到的规定比例。在分产品的中国境内生产的组件成本占比相关要求实施前，符合产品在中国境内生产，即在中华人民共和国关境内实现从原材料、组件到产品的属性改变的产品在政府采购活动中视同本国产品。属性改变是指经过制造</w:t>
      </w:r>
      <w:r>
        <w:rPr>
          <w:rFonts w:hint="eastAsia"/>
        </w:rPr>
        <w:t xml:space="preserve">、加工或者组装等工序，产生完全不同于原材料、组件的新产品，并具有新的名称和特征（用途）。属性改变不包括以下细微操作：1.为确保产品在运输或者储存期间保持某种状态而进行的操作；2.为产品运输或者销售进行的包装或者展示；3.在产品或者其包装上粘贴或者印刷品牌、标志、标识以及其他用于区别的标记；4.简单的上漆、磨光和分装；5.其他不属于属性改变的情形。），依法对该供应商提供的全部产品的总报价给予20%的价格扣除，用扣除后的价格参与评审。供应商未填写比例数值，或比例数值未达到80%的，将不享受本国产品价格评审优惠。</w:t>
      </w:r>
      <w:r/>
    </w:p>
    <w:p>
      <w:pPr>
        <w:ind w:firstLine="480"/>
        <w:spacing w:line="360" w:lineRule="auto"/>
        <w:rPr>
          <w:rFonts w:hint="eastAsia"/>
        </w:rPr>
      </w:pPr>
      <w:r>
        <w:rPr>
          <w:rFonts w:hint="eastAsia"/>
        </w:rPr>
        <w:t xml:space="preserve">7.3、供应商需按照招标文件的要求提供《关于符合本国产品标准的声明函》（以下简称《声明函》），如不提供将不享受本国产品价格评审优惠。</w:t>
      </w:r>
      <w:r/>
    </w:p>
    <w:p>
      <w:pPr>
        <w:ind w:firstLine="480"/>
        <w:spacing w:line="360" w:lineRule="auto"/>
        <w:rPr>
          <w:rFonts w:hint="eastAsia"/>
        </w:rPr>
      </w:pPr>
      <w:r>
        <w:rPr>
          <w:rFonts w:hint="eastAsia"/>
        </w:rPr>
        <w:t xml:space="preserve">7.4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360" w:lineRule="auto"/>
        <w:rPr>
          <w:rFonts w:hint="eastAsia"/>
        </w:rPr>
      </w:pPr>
      <w:r>
        <w:rPr>
          <w:rFonts w:hint="eastAsia"/>
        </w:rPr>
        <w:t xml:space="preserve">7.5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和招标文件规定的，供应商提供的相关产品视为不符合本国产品标准。</w:t>
      </w:r>
      <w:r/>
    </w:p>
    <w:p>
      <w:pPr>
        <w:pStyle w:val="907"/>
        <w:jc w:val="center"/>
        <w:spacing w:after="156"/>
        <w:rPr>
          <w:rFonts w:hint="eastAsia" w:ascii="宋体" w:hAnsi="宋体" w:cs="Times New Roman"/>
          <w:b/>
          <w:bCs/>
          <w:color w:val="auto"/>
          <w:sz w:val="32"/>
          <w:szCs w:val="32"/>
        </w:rPr>
      </w:pPr>
      <w:r>
        <w:rPr>
          <w:rFonts w:hint="eastAsia" w:ascii="宋体" w:hAnsi="宋体" w:cs="Times New Roman"/>
          <w:b/>
          <w:bCs/>
          <w:color w:val="auto"/>
          <w:sz w:val="32"/>
          <w:szCs w:val="32"/>
        </w:rPr>
        <w:t xml:space="preserve">第四节 </w:t>
      </w:r>
      <w:bookmarkStart w:id="450" w:name="_Hlk202794792"/>
      <w:r/>
      <w:bookmarkStart w:id="451" w:name="OLE_LINK32"/>
      <w:r>
        <w:rPr>
          <w:rFonts w:hint="eastAsia" w:ascii="宋体" w:hAnsi="宋体" w:cs="Times New Roman"/>
          <w:b/>
          <w:bCs/>
          <w:color w:val="auto"/>
          <w:sz w:val="32"/>
          <w:szCs w:val="32"/>
        </w:rPr>
        <w:t xml:space="preserve">评标标准</w:t>
      </w:r>
      <w:r/>
    </w:p>
    <w:p>
      <w:pPr>
        <w:ind w:firstLine="480"/>
        <w:spacing w:line="360" w:lineRule="auto"/>
        <w:rPr>
          <w:rFonts w:hint="eastAsia"/>
        </w:rPr>
      </w:pPr>
      <w:r/>
      <w:bookmarkStart w:id="452" w:name="_Hlk158152480"/>
      <w:r>
        <w:rPr>
          <w:rFonts w:hint="eastAsia"/>
        </w:rPr>
        <w:t xml:space="preserve">本次评审采用最低评标价法：</w:t>
      </w:r>
      <w:bookmarkEnd w:id="452"/>
      <w:r>
        <w:rPr>
          <w:rFonts w:hint="eastAsia"/>
        </w:rPr>
        <w:t xml:space="preserve">是指在投标文件能够满足招标文件全部实质性要求的投标人中，评审出投标报价最低的为第一中标候选人，采购人确认为中标单位。如两家或两家以上投标单位的有效报价相同且都为最低投标报价，则由采购人代表现场对上述报价相同的单位进行随机抽签，抽到的单位即确定为中标单位。</w:t>
      </w:r>
      <w:bookmarkEnd w:id="450"/>
      <w:r/>
    </w:p>
    <w:p>
      <w:pPr>
        <w:ind w:firstLine="480"/>
        <w:spacing w:line="360" w:lineRule="auto"/>
        <w:rPr>
          <w:rFonts w:hint="eastAsia"/>
        </w:rPr>
      </w:pPr>
      <w:r>
        <w:rPr>
          <w:rFonts w:hint="eastAsia"/>
        </w:rPr>
        <w:t xml:space="preserve">本项目共分2个包，每个投标人可以同时投2个包，但同一家单位最多只能中1个包。评标、定标顺序依次从二包至一包，当出现2个包第一中标候选人为同一投标单位时，在前一包作为中标第一候选人的单位，在其余包的中标候选资格自动失效，由该包的第二中标候选人自动升为第一中标候选人。</w:t>
      </w:r>
      <w:r/>
    </w:p>
    <w:p>
      <w:pPr>
        <w:jc w:val="center"/>
        <w:spacing w:line="360" w:lineRule="auto"/>
        <w:rPr>
          <w:rFonts w:hint="eastAsia"/>
          <w:b/>
          <w:sz w:val="36"/>
          <w:szCs w:val="36"/>
        </w:rPr>
        <w:sectPr>
          <w:footnotePr/>
          <w:endnotePr/>
          <w:type w:val="nextPage"/>
          <w:pgSz w:w="11906" w:h="16838" w:orient="portrait"/>
          <w:pgMar w:top="1440" w:right="1080" w:bottom="1440" w:left="1080" w:header="851" w:footer="992" w:gutter="0"/>
          <w:cols w:num="1" w:sep="0" w:space="720" w:equalWidth="1"/>
          <w:docGrid w:linePitch="360"/>
        </w:sectPr>
        <w:outlineLvl w:val="0"/>
      </w:pPr>
      <w:r/>
      <w:bookmarkStart w:id="453" w:name="_Toc152683407"/>
      <w:r/>
      <w:bookmarkStart w:id="454" w:name="_Toc197636631"/>
      <w:r/>
      <w:bookmarkEnd w:id="388"/>
      <w:r/>
      <w:bookmarkEnd w:id="389"/>
      <w:r/>
      <w:bookmarkEnd w:id="451"/>
      <w:r/>
      <w:r/>
    </w:p>
    <w:p>
      <w:pPr>
        <w:jc w:val="center"/>
        <w:spacing w:line="360" w:lineRule="auto"/>
        <w:rPr>
          <w:rFonts w:hint="eastAsia"/>
          <w:b/>
          <w:sz w:val="36"/>
          <w:szCs w:val="36"/>
        </w:rPr>
        <w:outlineLvl w:val="0"/>
      </w:pPr>
      <w:r>
        <w:rPr>
          <w:b/>
          <w:sz w:val="36"/>
          <w:szCs w:val="36"/>
        </w:rPr>
        <w:t xml:space="preserve">第五章   </w:t>
      </w:r>
      <w:bookmarkStart w:id="455" w:name="_Hlk202794814"/>
      <w:r>
        <w:rPr>
          <w:b/>
          <w:sz w:val="36"/>
          <w:szCs w:val="36"/>
        </w:rPr>
        <w:t xml:space="preserve">采购需求</w:t>
      </w:r>
      <w:bookmarkEnd w:id="156"/>
      <w:r/>
      <w:bookmarkEnd w:id="453"/>
      <w:r/>
      <w:bookmarkEnd w:id="454"/>
      <w:r/>
      <w:r/>
    </w:p>
    <w:p>
      <w:pPr>
        <w:pStyle w:val="1154"/>
        <w:contextualSpacing/>
        <w:ind w:firstLine="0"/>
        <w:spacing w:line="360" w:lineRule="auto"/>
        <w:rPr>
          <w:rFonts w:ascii="Times New Roman" w:hAnsi="Times New Roman"/>
          <w:b/>
          <w:sz w:val="24"/>
          <w:szCs w:val="24"/>
        </w:rPr>
      </w:pPr>
      <w:r/>
      <w:bookmarkStart w:id="456" w:name="_Toc99301425"/>
      <w:r>
        <w:rPr>
          <w:rFonts w:ascii="Times New Roman" w:hAnsi="Times New Roman"/>
          <w:b/>
          <w:sz w:val="24"/>
          <w:szCs w:val="24"/>
        </w:rPr>
        <w:t xml:space="preserve">一</w:t>
      </w:r>
      <w:r>
        <w:rPr>
          <w:rFonts w:hint="eastAsia" w:ascii="Times New Roman" w:hAnsi="Times New Roman"/>
          <w:b/>
          <w:sz w:val="24"/>
          <w:szCs w:val="24"/>
        </w:rPr>
        <w:t xml:space="preserve">、</w:t>
      </w:r>
      <w:r>
        <w:rPr>
          <w:rFonts w:ascii="Times New Roman" w:hAnsi="Times New Roman"/>
          <w:b/>
          <w:sz w:val="24"/>
          <w:szCs w:val="24"/>
        </w:rPr>
        <w:t xml:space="preserve">采购标的</w:t>
      </w:r>
      <w:r/>
    </w:p>
    <w:p>
      <w:pPr>
        <w:ind w:firstLine="480"/>
        <w:spacing w:line="400" w:lineRule="exact"/>
        <w:rPr>
          <w:rFonts w:hint="eastAsia"/>
          <w:bCs/>
        </w:rPr>
      </w:pPr>
      <w:r>
        <w:rPr>
          <w:rFonts w:hint="eastAsia"/>
          <w:bCs/>
        </w:rPr>
        <w:t xml:space="preserve">本项目共分二个包，每个投标人可以同时投二个包，但同一家单位最多只能中一个包。包别具体如下：一包：9号楼厨房设备采购及安装项目；二包：33号楼厨房设备采购及安装项目。</w:t>
      </w:r>
      <w:r/>
    </w:p>
    <w:p>
      <w:pPr>
        <w:ind w:firstLine="480"/>
        <w:spacing w:line="400" w:lineRule="exact"/>
        <w:rPr>
          <w:rFonts w:hint="eastAsia"/>
          <w:bCs/>
        </w:rPr>
      </w:pPr>
      <w:r>
        <w:rPr>
          <w:rFonts w:hint="eastAsia"/>
          <w:bCs/>
        </w:rPr>
        <w:t xml:space="preserve">详见“第八章——报价明细表”</w:t>
      </w:r>
      <w:r>
        <w:rPr>
          <w:rFonts w:hint="eastAsia"/>
          <w:bCs/>
        </w:rPr>
        <w:t xml:space="preserve">。</w:t>
      </w:r>
      <w:r/>
    </w:p>
    <w:p>
      <w:pPr>
        <w:pStyle w:val="1154"/>
        <w:contextualSpacing/>
        <w:ind w:firstLine="0"/>
        <w:spacing w:line="360" w:lineRule="auto"/>
        <w:rPr>
          <w:rFonts w:ascii="Times New Roman" w:hAnsi="Times New Roman"/>
          <w:b/>
          <w:sz w:val="24"/>
          <w:szCs w:val="24"/>
        </w:rPr>
      </w:pPr>
      <w:r>
        <w:rPr>
          <w:rFonts w:hint="eastAsia" w:ascii="Times New Roman" w:hAnsi="Times New Roman"/>
          <w:b/>
          <w:sz w:val="24"/>
          <w:szCs w:val="24"/>
        </w:rPr>
        <w:t xml:space="preserve">二</w:t>
      </w:r>
      <w:r>
        <w:rPr>
          <w:rFonts w:ascii="Times New Roman" w:hAnsi="Times New Roman"/>
          <w:b/>
          <w:sz w:val="24"/>
          <w:szCs w:val="24"/>
        </w:rPr>
        <w:t xml:space="preserve">、商务要求</w:t>
      </w:r>
      <w:r/>
    </w:p>
    <w:p>
      <w:pPr>
        <w:contextualSpacing/>
        <w:ind w:firstLine="480"/>
        <w:spacing w:line="360" w:lineRule="auto"/>
        <w:rPr>
          <w:rFonts w:hint="eastAsia"/>
        </w:rPr>
      </w:pPr>
      <w:r>
        <w:t xml:space="preserve">1</w:t>
      </w:r>
      <w:r>
        <w:rPr>
          <w:rFonts w:hint="eastAsia"/>
        </w:rPr>
        <w:t xml:space="preserve">、供货期限：合同签订后60个日历天内将所有厨房设备送至采购人指定地点安装调试到位，并具备验收条件。</w:t>
      </w:r>
      <w:r/>
    </w:p>
    <w:p>
      <w:pPr>
        <w:contextualSpacing/>
        <w:ind w:firstLine="480"/>
        <w:spacing w:line="360" w:lineRule="auto"/>
        <w:rPr>
          <w:rFonts w:hint="eastAsia"/>
        </w:rPr>
      </w:pPr>
      <w:r>
        <w:t xml:space="preserve">2</w:t>
      </w:r>
      <w:r>
        <w:rPr>
          <w:rFonts w:hint="eastAsia"/>
        </w:rPr>
        <w:t xml:space="preserve">、</w:t>
      </w:r>
      <w:r>
        <w:t xml:space="preserve">付款条件</w:t>
      </w:r>
      <w:r>
        <w:rPr>
          <w:rFonts w:hint="eastAsia"/>
        </w:rPr>
        <w:t xml:space="preserve">：</w:t>
      </w:r>
      <w:r/>
    </w:p>
    <w:p>
      <w:pPr>
        <w:contextualSpacing/>
        <w:ind w:firstLine="480"/>
        <w:spacing w:line="360" w:lineRule="auto"/>
        <w:rPr>
          <w:rFonts w:hint="eastAsia"/>
        </w:rPr>
      </w:pPr>
      <w:r>
        <w:t xml:space="preserve">2.</w:t>
      </w:r>
      <w:r>
        <w:rPr>
          <w:rFonts w:hint="eastAsia"/>
        </w:rPr>
        <w:t xml:space="preserve">1、签订合同后，</w:t>
      </w:r>
      <w:r>
        <w:rPr>
          <w:rFonts w:hint="eastAsia"/>
        </w:rPr>
        <w:t xml:space="preserve">货物全部到场</w:t>
      </w:r>
      <w:bookmarkStart w:id="457" w:name="OLE_LINK9"/>
      <w:r>
        <w:rPr>
          <w:rFonts w:hint="eastAsia"/>
        </w:rPr>
        <w:t xml:space="preserve">初验后</w:t>
      </w:r>
      <w:bookmarkEnd w:id="457"/>
      <w:r>
        <w:rPr>
          <w:rFonts w:hint="eastAsia"/>
        </w:rPr>
        <w:t xml:space="preserve">付至合同价的50%；</w:t>
      </w:r>
      <w:r/>
    </w:p>
    <w:p>
      <w:pPr>
        <w:contextualSpacing/>
        <w:ind w:firstLine="480"/>
        <w:spacing w:line="360" w:lineRule="auto"/>
        <w:rPr>
          <w:rFonts w:hint="eastAsia"/>
        </w:rPr>
      </w:pPr>
      <w:r>
        <w:rPr>
          <w:rFonts w:hint="eastAsia"/>
        </w:rPr>
        <w:t xml:space="preserve">2.2、</w:t>
      </w:r>
      <w:r>
        <w:rPr>
          <w:rFonts w:hint="eastAsia"/>
          <w:bCs/>
        </w:rPr>
        <w:t xml:space="preserve">安装调试结束并经验收合格后支付至审计结算价的100%。</w:t>
      </w:r>
      <w:r/>
    </w:p>
    <w:p>
      <w:pPr>
        <w:contextualSpacing/>
        <w:ind w:firstLine="480"/>
        <w:spacing w:line="360" w:lineRule="auto"/>
        <w:rPr>
          <w:rFonts w:hint="eastAsia"/>
        </w:rPr>
      </w:pPr>
      <w:r>
        <w:rPr>
          <w:rFonts w:hint="eastAsia"/>
        </w:rPr>
        <w:t xml:space="preserve">注:</w:t>
      </w:r>
      <w:r/>
    </w:p>
    <w:p>
      <w:pPr>
        <w:contextualSpacing/>
        <w:ind w:firstLine="480"/>
        <w:spacing w:line="360" w:lineRule="auto"/>
        <w:rPr>
          <w:rFonts w:hint="eastAsia"/>
        </w:rPr>
      </w:pPr>
      <w:r>
        <w:rPr>
          <w:rFonts w:hint="eastAsia"/>
        </w:rPr>
        <w:t xml:space="preserve">1) </w:t>
      </w:r>
      <w:bookmarkStart w:id="458" w:name="OLE_LINK10"/>
      <w:r>
        <w:rPr>
          <w:rFonts w:hint="eastAsia"/>
        </w:rPr>
        <w:t xml:space="preserve">本项目</w:t>
      </w:r>
      <w:r>
        <w:rPr>
          <w:rFonts w:hint="eastAsia"/>
        </w:rPr>
        <w:t xml:space="preserve">为固定单价，</w:t>
      </w:r>
      <w:r>
        <w:rPr>
          <w:rFonts w:hint="eastAsia"/>
        </w:rPr>
        <w:t xml:space="preserve">按实结算，以项目完成后审计单位的审计结果作为结算依据。</w:t>
      </w:r>
      <w:bookmarkEnd w:id="458"/>
      <w:r/>
      <w:r/>
    </w:p>
    <w:p>
      <w:pPr>
        <w:contextualSpacing/>
        <w:ind w:firstLine="480"/>
        <w:spacing w:line="360" w:lineRule="auto"/>
        <w:rPr>
          <w:rFonts w:hint="eastAsia"/>
        </w:rPr>
      </w:pPr>
      <w:r>
        <w:rPr>
          <w:rFonts w:hint="eastAsia"/>
        </w:rPr>
        <w:t xml:space="preserve">2) 每次付款前中标人必须提交发票等符合采购人要求的付款材料，否则采购人有权推迟付款时间。</w:t>
      </w:r>
      <w:r/>
    </w:p>
    <w:p>
      <w:pPr>
        <w:contextualSpacing/>
        <w:ind w:firstLine="480"/>
        <w:spacing w:line="360" w:lineRule="auto"/>
        <w:rPr>
          <w:rFonts w:hint="eastAsia"/>
        </w:rPr>
      </w:pPr>
      <w:r>
        <w:rPr>
          <w:rFonts w:hint="eastAsia"/>
        </w:rPr>
        <w:t xml:space="preserve">3、</w:t>
      </w:r>
      <w:r>
        <w:t xml:space="preserve">包装和运输</w:t>
      </w:r>
      <w:r/>
    </w:p>
    <w:p>
      <w:pPr>
        <w:contextualSpacing/>
        <w:ind w:firstLine="480"/>
        <w:spacing w:line="360" w:lineRule="auto"/>
        <w:rPr>
          <w:rFonts w:hint="eastAsia"/>
        </w:rPr>
      </w:pPr>
      <w:r>
        <w:rPr>
          <w:rFonts w:hint="eastAsia"/>
        </w:rPr>
        <w:t xml:space="preserve">3.1、中标人应保证提供的厨房设备及其附件、备品备件是全新的、先进的、成熟的、完整的和安全可靠的、且设备的性能和技术参数必须符合技术文件的规定。</w:t>
      </w:r>
      <w:r/>
    </w:p>
    <w:p>
      <w:pPr>
        <w:contextualSpacing/>
        <w:ind w:firstLine="480"/>
        <w:spacing w:line="360" w:lineRule="auto"/>
        <w:rPr>
          <w:rFonts w:hint="eastAsia"/>
        </w:rPr>
      </w:pPr>
      <w:r>
        <w:rPr>
          <w:rFonts w:hint="eastAsia"/>
        </w:rPr>
        <w:t xml:space="preserve">3.2、质量保证：必须提供全新的、包装完好、符合国家相关质量标准及规范要求的设备及服务，设备、配件如有国家强制性标准必须符合国家强制性标准。否则，采购人有权要求成交人退货、退场，所发生的一切费用均由中标人承担。</w:t>
      </w:r>
      <w:r/>
    </w:p>
    <w:p>
      <w:pPr>
        <w:contextualSpacing/>
        <w:ind w:firstLine="480"/>
        <w:spacing w:line="360" w:lineRule="auto"/>
        <w:rPr>
          <w:rFonts w:hint="eastAsia"/>
        </w:rPr>
      </w:pPr>
      <w:r>
        <w:rPr>
          <w:rFonts w:hint="eastAsia"/>
        </w:rPr>
        <w:t xml:space="preserve">4、</w:t>
      </w:r>
      <w:r>
        <w:t xml:space="preserve">售后服务</w:t>
      </w:r>
      <w:r>
        <w:rPr>
          <w:rFonts w:hint="eastAsia"/>
        </w:rPr>
        <w:t xml:space="preserve">及质保期：</w:t>
      </w:r>
      <w:r/>
    </w:p>
    <w:p>
      <w:pPr>
        <w:ind w:firstLine="482"/>
        <w:spacing w:line="360" w:lineRule="auto"/>
        <w:rPr>
          <w:rFonts w:hint="eastAsia"/>
          <w:b/>
          <w:bCs/>
          <w:u w:val="single"/>
        </w:rPr>
      </w:pPr>
      <w:r>
        <w:rPr>
          <w:rFonts w:hint="eastAsia"/>
          <w:b/>
          <w:bCs/>
          <w:u w:val="single"/>
        </w:rPr>
        <w:t xml:space="preserve">★4.1、</w:t>
      </w:r>
      <w:bookmarkStart w:id="459" w:name="_Hlk216766802"/>
      <w:r>
        <w:rPr>
          <w:rFonts w:hint="eastAsia"/>
          <w:b/>
          <w:bCs/>
          <w:u w:val="single"/>
        </w:rPr>
        <w:t xml:space="preserve">自验收合格之日起提供不低于3年（包括外购产品）免费质保。</w:t>
      </w:r>
      <w:bookmarkEnd w:id="459"/>
      <w:r/>
    </w:p>
    <w:p>
      <w:pPr>
        <w:ind w:firstLine="480"/>
        <w:spacing w:line="360" w:lineRule="auto"/>
        <w:rPr>
          <w:rFonts w:hint="eastAsia"/>
        </w:rPr>
      </w:pPr>
      <w:r>
        <w:rPr>
          <w:rFonts w:hint="eastAsia"/>
        </w:rPr>
        <w:t xml:space="preserve">4.2、详细说明质保方案，及质保期满后的服务承诺；质保时间、内容须明确无误，是包换还是保修，是免费更换还是有偿更换。服务时间的承诺：须明确响应供货的时间要求。</w:t>
      </w:r>
      <w:r/>
    </w:p>
    <w:p>
      <w:pPr>
        <w:ind w:firstLine="480"/>
        <w:spacing w:line="360" w:lineRule="auto"/>
        <w:rPr>
          <w:rFonts w:hint="eastAsia"/>
        </w:rPr>
      </w:pPr>
      <w:r>
        <w:rPr>
          <w:rFonts w:hint="eastAsia"/>
        </w:rPr>
        <w:t xml:space="preserve">4.3、中标人所提供的货物开箱后，如使用方发现有任何问题（如外观有损伤），中标人必须立即以同样型号的设备在使用方商定的时间内更换，确保其使用。</w:t>
      </w:r>
      <w:r/>
    </w:p>
    <w:p>
      <w:pPr>
        <w:ind w:firstLine="480"/>
        <w:spacing w:line="360" w:lineRule="auto"/>
        <w:rPr>
          <w:rFonts w:hint="eastAsia"/>
        </w:rPr>
      </w:pPr>
      <w:r>
        <w:rPr>
          <w:rFonts w:hint="eastAsia"/>
        </w:rPr>
        <w:t xml:space="preserve">4.4、提供长期技术支持和维修服务，接到用户维修通知后，2小时内响应、3小时内到达指定现场进行维修。免费更换一切在正常情况下损坏的零配件，每年提供两次（暑寒假）</w:t>
      </w:r>
      <w:r>
        <w:rPr>
          <w:rFonts w:hint="eastAsia"/>
        </w:rPr>
        <w:t xml:space="preserve">免费上门巡检服务。如需更换设备或送修，必须在24小时内负责解决，且更换维修期间须提供备用设备以保证系统的正常运行。免费质保期内，如在以上规定时间内中标供应商不能及时完成维修任务，采购人有权指定第三方进行维修，费用按照与第三方发生的实际费用从成交供应商预留款中扣除。</w:t>
      </w:r>
      <w:r/>
    </w:p>
    <w:p>
      <w:pPr>
        <w:ind w:firstLine="480"/>
        <w:spacing w:line="360" w:lineRule="auto"/>
        <w:rPr>
          <w:rFonts w:hint="eastAsia"/>
        </w:rPr>
      </w:pPr>
      <w:r>
        <w:rPr>
          <w:rFonts w:hint="eastAsia"/>
        </w:rPr>
        <w:t xml:space="preserve">4.5、在货物的设计使用寿命周期内，</w:t>
      </w:r>
      <w:r>
        <w:rPr>
          <w:rFonts w:hint="eastAsia"/>
        </w:rPr>
        <w:t xml:space="preserve">中标人</w:t>
      </w:r>
      <w:r>
        <w:rPr>
          <w:rFonts w:hint="eastAsia"/>
        </w:rPr>
        <w:t xml:space="preserve">应能保证使用方更换到原厂正宗的备件材料，确保设备的正常使用。</w:t>
      </w:r>
      <w:r/>
    </w:p>
    <w:p>
      <w:pPr>
        <w:ind w:firstLine="480"/>
        <w:spacing w:line="360" w:lineRule="auto"/>
        <w:rPr>
          <w:rFonts w:hint="eastAsia"/>
        </w:rPr>
      </w:pPr>
      <w:r>
        <w:rPr>
          <w:rFonts w:hint="eastAsia"/>
        </w:rPr>
        <w:t xml:space="preserve">4.6、所有货物须满足国家及行业环保和质量标准。</w:t>
      </w:r>
      <w:r/>
    </w:p>
    <w:p>
      <w:pPr>
        <w:ind w:firstLine="480"/>
        <w:spacing w:line="360" w:lineRule="auto"/>
        <w:rPr>
          <w:rFonts w:hint="eastAsia"/>
        </w:rPr>
      </w:pPr>
      <w:r>
        <w:rPr>
          <w:rFonts w:hint="eastAsia"/>
        </w:rPr>
        <w:t xml:space="preserve">4.7、免费质保期后：</w:t>
      </w:r>
      <w:bookmarkStart w:id="460" w:name="OLE_LINK8"/>
      <w:r>
        <w:rPr>
          <w:rFonts w:hint="eastAsia"/>
        </w:rPr>
        <w:t xml:space="preserve">中标人</w:t>
      </w:r>
      <w:bookmarkEnd w:id="460"/>
      <w:r>
        <w:rPr>
          <w:rFonts w:hint="eastAsia"/>
        </w:rPr>
        <w:t xml:space="preserve">负责设备的终身维修及零配件的及时供应。维修费先修理后付款，零配件的购买先交货后付款。</w:t>
      </w:r>
      <w:r/>
    </w:p>
    <w:p>
      <w:pPr>
        <w:ind w:firstLine="480"/>
        <w:spacing w:line="360" w:lineRule="auto"/>
        <w:rPr>
          <w:rFonts w:hint="eastAsia"/>
        </w:rPr>
      </w:pPr>
      <w:r>
        <w:rPr>
          <w:rFonts w:hint="eastAsia"/>
        </w:rPr>
        <w:t xml:space="preserve">4.8、中标人负责在设备的安装现场免费培训需方的技术人员，达到上岗水平。</w:t>
      </w:r>
      <w:r/>
    </w:p>
    <w:p>
      <w:pPr>
        <w:ind w:firstLine="480"/>
        <w:spacing w:line="360" w:lineRule="auto"/>
        <w:rPr>
          <w:rFonts w:hint="eastAsia"/>
        </w:rPr>
      </w:pPr>
      <w:r>
        <w:rPr>
          <w:rFonts w:hint="eastAsia"/>
        </w:rPr>
        <w:t xml:space="preserve">4.9、质量要求：合格标准。</w:t>
      </w:r>
      <w:r/>
    </w:p>
    <w:p>
      <w:pPr>
        <w:contextualSpacing/>
        <w:ind w:firstLine="480"/>
        <w:spacing w:line="360" w:lineRule="auto"/>
        <w:rPr>
          <w:rFonts w:hint="eastAsia"/>
        </w:rPr>
      </w:pPr>
      <w:r>
        <w:rPr>
          <w:rFonts w:hint="eastAsia"/>
          <w:b/>
          <w:bCs/>
        </w:rPr>
        <w:t xml:space="preserve">（五）其他要求：</w:t>
      </w:r>
      <w:r>
        <w:rPr>
          <w:rFonts w:hint="eastAsia"/>
        </w:rPr>
        <w:t xml:space="preserve">中标后，中标人根据项目实际情况深化施工图纸，所有费用均由中标人承担。</w:t>
      </w:r>
      <w:r/>
    </w:p>
    <w:p>
      <w:pPr>
        <w:contextualSpacing/>
        <w:ind w:firstLine="480"/>
        <w:spacing w:line="360" w:lineRule="auto"/>
        <w:rPr>
          <w:rFonts w:hint="eastAsia"/>
          <w:b/>
        </w:rPr>
      </w:pPr>
      <w:r>
        <w:rPr>
          <w:rFonts w:hint="eastAsia"/>
          <w:b/>
        </w:rPr>
        <w:t xml:space="preserve">三、技术要求</w:t>
      </w:r>
      <w:r/>
    </w:p>
    <w:p>
      <w:pPr>
        <w:contextualSpacing/>
        <w:ind w:firstLine="480"/>
        <w:spacing w:line="360" w:lineRule="auto"/>
        <w:rPr>
          <w:rFonts w:hint="eastAsia"/>
        </w:rPr>
      </w:pPr>
      <w:r>
        <w:rPr>
          <w:rFonts w:hint="eastAsia"/>
          <w:bCs/>
        </w:rPr>
        <w:t xml:space="preserve">（一）</w:t>
      </w:r>
      <w:r>
        <w:t xml:space="preserve">基本要求</w:t>
      </w:r>
      <w:r/>
    </w:p>
    <w:p>
      <w:pPr>
        <w:ind w:firstLine="480"/>
        <w:spacing w:line="360" w:lineRule="auto"/>
        <w:rPr>
          <w:rFonts w:hint="eastAsia"/>
        </w:rPr>
      </w:pPr>
      <w:r>
        <w:t xml:space="preserve">1</w:t>
      </w:r>
      <w:r>
        <w:rPr>
          <w:rFonts w:hint="eastAsia"/>
        </w:rPr>
        <w:t xml:space="preserve">、</w:t>
      </w:r>
      <w:r>
        <w:t xml:space="preserve"> </w:t>
      </w:r>
      <w:r>
        <w:rPr>
          <w:rFonts w:hint="eastAsia"/>
        </w:rPr>
        <w:t xml:space="preserve">根据采购文件，提供所有劳动力、材料、设备、服务、包装运输、安装调试等，包括在清单、文件上没有提及，但符合运行所要求的附件、及全套施工工艺图图纸。</w:t>
      </w:r>
      <w:r/>
    </w:p>
    <w:p>
      <w:pPr>
        <w:ind w:firstLine="480"/>
        <w:spacing w:line="360" w:lineRule="auto"/>
        <w:rPr>
          <w:rFonts w:hint="eastAsia"/>
        </w:rPr>
      </w:pPr>
      <w:r>
        <w:t xml:space="preserve">2</w:t>
      </w:r>
      <w:r>
        <w:rPr>
          <w:rFonts w:hint="eastAsia"/>
        </w:rPr>
        <w:t xml:space="preserve">、实际尺寸必需按工地实际情况进行测量，所提供的设备必须符合现场的实际情况。</w:t>
      </w:r>
      <w:r/>
    </w:p>
    <w:p>
      <w:pPr>
        <w:ind w:firstLine="480"/>
        <w:spacing w:line="360" w:lineRule="auto"/>
        <w:rPr>
          <w:rFonts w:hint="eastAsia"/>
        </w:rPr>
      </w:pPr>
      <w:r>
        <w:t xml:space="preserve">3</w:t>
      </w:r>
      <w:r>
        <w:rPr>
          <w:rFonts w:hint="eastAsia"/>
        </w:rPr>
        <w:t xml:space="preserve">、中标人需提供准确及所需之标准配备，虽然文件中没有提及，但由于安全上或操作上有需要，则中标人仍需提供该配件而不能索取额外费用。</w:t>
      </w:r>
      <w:r/>
    </w:p>
    <w:p>
      <w:pPr>
        <w:contextualSpacing/>
        <w:ind w:firstLine="480"/>
        <w:spacing w:line="360" w:lineRule="auto"/>
        <w:rPr>
          <w:rFonts w:hint="eastAsia"/>
        </w:rPr>
      </w:pPr>
      <w:r>
        <w:t xml:space="preserve">4</w:t>
      </w:r>
      <w:r>
        <w:rPr>
          <w:rFonts w:hint="eastAsia"/>
        </w:rPr>
        <w:t xml:space="preserve">、</w:t>
      </w:r>
      <w:r>
        <w:t xml:space="preserve">需执行的国家相关标准、行业标准、地方标准或者其他标准、规范</w:t>
      </w:r>
      <w:r>
        <w:rPr>
          <w:rFonts w:hint="eastAsia"/>
        </w:rPr>
        <w:t xml:space="preserve">:</w:t>
      </w:r>
      <w:r/>
    </w:p>
    <w:p>
      <w:pPr>
        <w:ind w:firstLine="480"/>
        <w:spacing w:line="360" w:lineRule="auto"/>
        <w:rPr>
          <w:rFonts w:hint="eastAsia"/>
        </w:rPr>
      </w:pPr>
      <w:r>
        <w:t xml:space="preserve">4.1</w:t>
      </w:r>
      <w:r>
        <w:rPr>
          <w:rFonts w:hint="eastAsia"/>
        </w:rPr>
        <w:t xml:space="preserve">、</w:t>
      </w:r>
      <w:r>
        <w:rPr>
          <w:rFonts w:hint="eastAsia"/>
        </w:rPr>
        <w:t xml:space="preserve">有关之法规包括建筑规范，环保、卫生防疫、燃气或其它有关的法规。</w:t>
      </w:r>
      <w:r/>
    </w:p>
    <w:p>
      <w:pPr>
        <w:ind w:firstLine="480"/>
        <w:spacing w:line="360" w:lineRule="auto"/>
        <w:rPr>
          <w:rFonts w:hint="eastAsia"/>
        </w:rPr>
      </w:pPr>
      <w:r>
        <w:t xml:space="preserve">4.2</w:t>
      </w:r>
      <w:r>
        <w:rPr>
          <w:rFonts w:hint="eastAsia"/>
        </w:rPr>
        <w:t xml:space="preserve">、</w:t>
      </w:r>
      <w:r>
        <w:rPr>
          <w:rFonts w:hint="eastAsia"/>
        </w:rPr>
        <w:t xml:space="preserve">用电设备或电热、蒸汽设备，需符合</w:t>
      </w:r>
      <w:r>
        <w:rPr>
          <w:rFonts w:hint="eastAsia"/>
        </w:rPr>
        <w:t xml:space="preserve">国家、省、市及</w:t>
      </w:r>
      <w:r>
        <w:rPr>
          <w:rFonts w:hint="eastAsia"/>
        </w:rPr>
        <w:t xml:space="preserve">当地最新之标准。</w:t>
      </w:r>
      <w:r/>
    </w:p>
    <w:p>
      <w:pPr>
        <w:ind w:firstLine="480"/>
        <w:spacing w:line="360" w:lineRule="auto"/>
        <w:rPr>
          <w:rFonts w:hint="eastAsia"/>
        </w:rPr>
      </w:pPr>
      <w:r>
        <w:t xml:space="preserve">4.3</w:t>
      </w:r>
      <w:r>
        <w:rPr>
          <w:rFonts w:hint="eastAsia"/>
        </w:rPr>
        <w:t xml:space="preserve">、</w:t>
      </w:r>
      <w:r>
        <w:rPr>
          <w:rFonts w:hint="eastAsia"/>
        </w:rPr>
        <w:t xml:space="preserve">燃气用具需符合</w:t>
      </w:r>
      <w:r>
        <w:rPr>
          <w:rFonts w:hint="eastAsia"/>
        </w:rPr>
        <w:t xml:space="preserve">国家、省、市及当地</w:t>
      </w:r>
      <w:r>
        <w:rPr>
          <w:rFonts w:hint="eastAsia"/>
        </w:rPr>
        <w:t xml:space="preserve">燃气法规和相关管理部门的认可。</w:t>
      </w:r>
      <w:r/>
    </w:p>
    <w:p>
      <w:pPr>
        <w:ind w:firstLine="480"/>
        <w:spacing w:line="360" w:lineRule="auto"/>
        <w:rPr>
          <w:rFonts w:hint="eastAsia"/>
        </w:rPr>
      </w:pPr>
      <w:r>
        <w:t xml:space="preserve">4.4</w:t>
      </w:r>
      <w:r>
        <w:rPr>
          <w:rFonts w:hint="eastAsia"/>
        </w:rPr>
        <w:t xml:space="preserve">、</w:t>
      </w:r>
      <w:r>
        <w:rPr>
          <w:rFonts w:hint="eastAsia"/>
        </w:rPr>
        <w:t xml:space="preserve">提供的设备规格，除需要符合采购的标准之外，还需符合法规上或规范所需的标准，或需高于该标准。</w:t>
      </w:r>
      <w:r/>
    </w:p>
    <w:p>
      <w:pPr>
        <w:ind w:firstLine="480"/>
        <w:spacing w:line="360" w:lineRule="auto"/>
        <w:rPr>
          <w:rFonts w:hint="eastAsia"/>
        </w:rPr>
      </w:pPr>
      <w:r>
        <w:t xml:space="preserve">4.5</w:t>
      </w:r>
      <w:r>
        <w:rPr>
          <w:rFonts w:hint="eastAsia"/>
        </w:rPr>
        <w:t xml:space="preserve">、</w:t>
      </w:r>
      <w:r>
        <w:rPr>
          <w:rFonts w:hint="eastAsia"/>
        </w:rPr>
        <w:t xml:space="preserve">由于法规或规范适时变更所需而需要使设备之标准高于采购规范内的标准时，中标人不得向</w:t>
      </w:r>
      <w:r>
        <w:rPr>
          <w:rFonts w:hint="eastAsia"/>
        </w:rPr>
        <w:t xml:space="preserve">定做方</w:t>
      </w:r>
      <w:r>
        <w:rPr>
          <w:rFonts w:hint="eastAsia"/>
        </w:rPr>
        <w:t xml:space="preserve">索取额外费用。</w:t>
      </w:r>
      <w:r/>
    </w:p>
    <w:p>
      <w:pPr>
        <w:contextualSpacing/>
        <w:ind w:firstLine="480"/>
        <w:spacing w:line="360" w:lineRule="auto"/>
        <w:rPr>
          <w:rFonts w:hint="eastAsia"/>
          <w:b/>
        </w:rPr>
      </w:pPr>
      <w:r>
        <w:rPr>
          <w:rFonts w:hint="eastAsia"/>
          <w:b/>
        </w:rPr>
        <w:t xml:space="preserve">（二）</w:t>
      </w:r>
      <w:r>
        <w:rPr>
          <w:b/>
        </w:rPr>
        <w:t xml:space="preserve">货物技术要求</w:t>
      </w:r>
      <w:r>
        <w:rPr>
          <w:rFonts w:hint="eastAsia"/>
          <w:b/>
        </w:rPr>
        <w:t xml:space="preserve">：</w:t>
      </w:r>
      <w:r/>
    </w:p>
    <w:p>
      <w:pPr>
        <w:ind w:firstLine="566"/>
        <w:spacing w:line="360" w:lineRule="auto"/>
        <w:rPr>
          <w:rFonts w:hint="eastAsia" w:cs="楷体"/>
          <w:b/>
        </w:rPr>
      </w:pPr>
      <w:r>
        <w:rPr>
          <w:rFonts w:cs="楷体"/>
          <w:b/>
        </w:rPr>
        <w:t xml:space="preserve">1</w:t>
      </w:r>
      <w:r>
        <w:rPr>
          <w:rFonts w:hint="eastAsia" w:cs="楷体"/>
          <w:b/>
        </w:rPr>
        <w:t xml:space="preserve">、材料配件及设备</w:t>
      </w:r>
      <w:r/>
    </w:p>
    <w:p>
      <w:pPr>
        <w:ind w:firstLine="566"/>
        <w:spacing w:line="360" w:lineRule="auto"/>
        <w:rPr>
          <w:rFonts w:hint="eastAsia" w:cs="楷体"/>
        </w:rPr>
      </w:pPr>
      <w:r>
        <w:rPr>
          <w:rFonts w:cs="楷体"/>
        </w:rPr>
        <w:t xml:space="preserve">1.1</w:t>
      </w:r>
      <w:r>
        <w:rPr>
          <w:rFonts w:hint="eastAsia" w:cs="楷体"/>
        </w:rPr>
        <w:t xml:space="preserve">、</w:t>
      </w:r>
      <w:r>
        <w:rPr>
          <w:rFonts w:hint="eastAsia" w:cs="楷体"/>
        </w:rPr>
        <w:t xml:space="preserve">若需安装马达，则马达安装在尘土、油烟、潮湿的地方时，需要安装全封闭式马达，（小型马达例如：时间控制钟所用马达除外）马达需用滚珠轴承式及可承受2个小时满负荷运转。除防滴漏外，马达还需防潮。马达需有足够的马力，当设备全负荷时的满载电流不能超过马达铭牌所规定的电流（如采购中有此设备）。</w:t>
      </w:r>
      <w:r/>
    </w:p>
    <w:p>
      <w:pPr>
        <w:ind w:firstLine="566"/>
        <w:spacing w:line="360" w:lineRule="auto"/>
        <w:rPr>
          <w:rFonts w:hint="eastAsia" w:cs="楷体"/>
        </w:rPr>
      </w:pPr>
      <w:r>
        <w:rPr>
          <w:rFonts w:cs="楷体"/>
        </w:rPr>
        <w:t xml:space="preserve">1</w:t>
      </w:r>
      <w:r>
        <w:rPr>
          <w:rFonts w:hint="eastAsia" w:cs="楷体"/>
        </w:rPr>
        <w:t xml:space="preserve">.2</w:t>
      </w:r>
      <w:r>
        <w:rPr>
          <w:rFonts w:hint="eastAsia" w:cs="楷体"/>
        </w:rPr>
        <w:t xml:space="preserve">、</w:t>
      </w:r>
      <w:r>
        <w:rPr>
          <w:rFonts w:hint="eastAsia"/>
        </w:rPr>
        <w:t xml:space="preserve">中标</w:t>
      </w:r>
      <w:r>
        <w:rPr>
          <w:rFonts w:hint="eastAsia" w:cs="楷体"/>
        </w:rPr>
        <w:t xml:space="preserve">人需提供符合当地规范的插头或软线。</w:t>
      </w:r>
      <w:r/>
    </w:p>
    <w:p>
      <w:pPr>
        <w:ind w:firstLine="566"/>
        <w:spacing w:line="360" w:lineRule="auto"/>
        <w:rPr>
          <w:rFonts w:hint="eastAsia" w:cs="楷体"/>
        </w:rPr>
      </w:pPr>
      <w:r>
        <w:rPr>
          <w:rFonts w:cs="楷体"/>
        </w:rPr>
        <w:t xml:space="preserve">1</w:t>
      </w:r>
      <w:r>
        <w:rPr>
          <w:rFonts w:hint="eastAsia" w:cs="楷体"/>
        </w:rPr>
        <w:t xml:space="preserve">.3</w:t>
      </w:r>
      <w:r>
        <w:rPr>
          <w:rFonts w:hint="eastAsia" w:cs="楷体"/>
        </w:rPr>
        <w:t xml:space="preserve">、</w:t>
      </w:r>
      <w:r>
        <w:rPr>
          <w:rFonts w:hint="eastAsia" w:cs="楷体"/>
        </w:rPr>
        <w:t xml:space="preserve">当使用软线及插头时，软线需3芯或5芯PVC包裹的软线，其中一根需连接设备的框架及接地。所有软线及插头需有一定的安全系数及符合当地的规范。</w:t>
      </w:r>
      <w:r/>
    </w:p>
    <w:p>
      <w:pPr>
        <w:ind w:firstLine="566"/>
        <w:spacing w:line="360" w:lineRule="auto"/>
        <w:rPr>
          <w:rFonts w:hint="eastAsia" w:cs="楷体"/>
        </w:rPr>
      </w:pPr>
      <w:r>
        <w:rPr>
          <w:rFonts w:cs="楷体"/>
        </w:rPr>
        <w:t xml:space="preserve">1</w:t>
      </w:r>
      <w:r>
        <w:rPr>
          <w:rFonts w:hint="eastAsia" w:cs="楷体"/>
        </w:rPr>
        <w:t xml:space="preserve">.4</w:t>
      </w:r>
      <w:r>
        <w:rPr>
          <w:rFonts w:hint="eastAsia" w:cs="楷体"/>
        </w:rPr>
        <w:t xml:space="preserve">、</w:t>
      </w:r>
      <w:r>
        <w:rPr>
          <w:rFonts w:hint="eastAsia" w:cs="楷体"/>
        </w:rPr>
        <w:t xml:space="preserve">马达起动开关需是防漏电形式。</w:t>
      </w:r>
      <w:r/>
    </w:p>
    <w:p>
      <w:pPr>
        <w:ind w:firstLine="566"/>
        <w:spacing w:line="360" w:lineRule="auto"/>
        <w:rPr>
          <w:rFonts w:hint="eastAsia" w:cs="楷体"/>
        </w:rPr>
      </w:pPr>
      <w:r>
        <w:rPr>
          <w:rFonts w:cs="楷体"/>
        </w:rPr>
        <w:t xml:space="preserve">1</w:t>
      </w:r>
      <w:r>
        <w:rPr>
          <w:rFonts w:hint="eastAsia" w:cs="楷体"/>
        </w:rPr>
        <w:t xml:space="preserve">.5</w:t>
      </w:r>
      <w:r>
        <w:rPr>
          <w:rFonts w:hint="eastAsia" w:cs="楷体"/>
        </w:rPr>
        <w:t xml:space="preserve">、</w:t>
      </w:r>
      <w:r>
        <w:rPr>
          <w:rFonts w:hint="eastAsia"/>
        </w:rPr>
        <w:t xml:space="preserve">中标</w:t>
      </w:r>
      <w:r>
        <w:rPr>
          <w:rFonts w:hint="eastAsia" w:cs="楷体"/>
        </w:rPr>
        <w:t xml:space="preserve">人须提供设备内的电线，包括开关，指示灯等。</w:t>
      </w:r>
      <w:r/>
    </w:p>
    <w:p>
      <w:pPr>
        <w:ind w:firstLine="566"/>
        <w:spacing w:line="360" w:lineRule="auto"/>
        <w:rPr>
          <w:rFonts w:hint="eastAsia" w:cs="楷体"/>
        </w:rPr>
      </w:pPr>
      <w:r>
        <w:rPr>
          <w:rFonts w:cs="楷体"/>
        </w:rPr>
        <w:t xml:space="preserve">1</w:t>
      </w:r>
      <w:r>
        <w:rPr>
          <w:rFonts w:hint="eastAsia" w:cs="楷体"/>
        </w:rPr>
        <w:t xml:space="preserve">.6</w:t>
      </w:r>
      <w:r>
        <w:rPr>
          <w:rFonts w:hint="eastAsia" w:cs="楷体"/>
        </w:rPr>
        <w:t xml:space="preserve">、</w:t>
      </w:r>
      <w:r>
        <w:rPr>
          <w:rFonts w:hint="eastAsia" w:cs="楷体"/>
        </w:rPr>
        <w:t xml:space="preserve">在控制开关与每一发热线组件之间，需安装机载保险丝。在控制开关与马达间则不需要。</w:t>
      </w:r>
      <w:r/>
    </w:p>
    <w:p>
      <w:pPr>
        <w:ind w:firstLine="566"/>
        <w:spacing w:line="360" w:lineRule="auto"/>
        <w:rPr>
          <w:rFonts w:hint="eastAsia" w:cs="楷体"/>
        </w:rPr>
      </w:pPr>
      <w:r>
        <w:rPr>
          <w:rFonts w:cs="楷体"/>
        </w:rPr>
        <w:t xml:space="preserve">1</w:t>
      </w:r>
      <w:r>
        <w:rPr>
          <w:rFonts w:hint="eastAsia" w:cs="楷体"/>
        </w:rPr>
        <w:t xml:space="preserve">.7</w:t>
      </w:r>
      <w:r>
        <w:rPr>
          <w:rFonts w:hint="eastAsia" w:cs="楷体"/>
        </w:rPr>
        <w:t xml:space="preserve">、</w:t>
      </w:r>
      <w:r>
        <w:rPr>
          <w:rFonts w:hint="eastAsia" w:cs="楷体"/>
        </w:rPr>
        <w:t xml:space="preserve">如控制开关是遥控操作，除特别注明外，</w:t>
      </w:r>
      <w:r>
        <w:rPr>
          <w:rFonts w:hint="eastAsia"/>
        </w:rPr>
        <w:t xml:space="preserve">中标</w:t>
      </w:r>
      <w:r>
        <w:rPr>
          <w:rFonts w:hint="eastAsia" w:cs="楷体"/>
        </w:rPr>
        <w:t xml:space="preserve">人需提供整套管线及负责安装。</w:t>
      </w:r>
      <w:r/>
    </w:p>
    <w:p>
      <w:pPr>
        <w:ind w:firstLine="566"/>
        <w:spacing w:line="360" w:lineRule="auto"/>
        <w:rPr>
          <w:rFonts w:hint="eastAsia" w:cs="楷体"/>
        </w:rPr>
      </w:pPr>
      <w:r>
        <w:rPr>
          <w:rFonts w:cs="楷体"/>
        </w:rPr>
        <w:t xml:space="preserve">1</w:t>
      </w:r>
      <w:r>
        <w:rPr>
          <w:rFonts w:hint="eastAsia" w:cs="楷体"/>
        </w:rPr>
        <w:t xml:space="preserve">.8</w:t>
      </w:r>
      <w:r>
        <w:rPr>
          <w:rFonts w:hint="eastAsia" w:cs="楷体"/>
        </w:rPr>
        <w:t xml:space="preserve">、</w:t>
      </w:r>
      <w:r>
        <w:rPr>
          <w:rFonts w:hint="eastAsia" w:cs="楷体"/>
        </w:rPr>
        <w:t xml:space="preserve">所有电器设备需妥善地接地。</w:t>
      </w:r>
      <w:r/>
    </w:p>
    <w:p>
      <w:pPr>
        <w:ind w:firstLine="566"/>
        <w:spacing w:line="360" w:lineRule="auto"/>
        <w:rPr>
          <w:rFonts w:hint="eastAsia" w:cs="楷体"/>
        </w:rPr>
      </w:pPr>
      <w:r>
        <w:rPr>
          <w:rFonts w:cs="楷体"/>
        </w:rPr>
        <w:t xml:space="preserve">1</w:t>
      </w:r>
      <w:r>
        <w:rPr>
          <w:rFonts w:hint="eastAsia" w:cs="楷体"/>
        </w:rPr>
        <w:t xml:space="preserve">.9</w:t>
      </w:r>
      <w:r>
        <w:rPr>
          <w:rFonts w:hint="eastAsia" w:cs="楷体"/>
        </w:rPr>
        <w:t xml:space="preserve">、</w:t>
      </w:r>
      <w:r>
        <w:rPr>
          <w:rFonts w:hint="eastAsia" w:cs="楷体"/>
        </w:rPr>
        <w:t xml:space="preserve">采购人有权要求</w:t>
      </w:r>
      <w:r>
        <w:rPr>
          <w:rFonts w:hint="eastAsia"/>
        </w:rPr>
        <w:t xml:space="preserve">中标</w:t>
      </w:r>
      <w:r>
        <w:rPr>
          <w:rFonts w:hint="eastAsia" w:cs="楷体"/>
        </w:rPr>
        <w:t xml:space="preserve">人提供与设备有关的电路图。</w:t>
      </w:r>
      <w:r/>
    </w:p>
    <w:p>
      <w:pPr>
        <w:ind w:firstLine="566"/>
        <w:spacing w:line="360" w:lineRule="auto"/>
        <w:rPr>
          <w:rFonts w:hint="eastAsia" w:cs="楷体"/>
          <w:b/>
        </w:rPr>
      </w:pPr>
      <w:r>
        <w:rPr>
          <w:rFonts w:cs="楷体"/>
          <w:b/>
        </w:rPr>
        <w:t xml:space="preserve">2</w:t>
      </w:r>
      <w:r>
        <w:rPr>
          <w:rFonts w:hint="eastAsia" w:cs="楷体"/>
          <w:b/>
        </w:rPr>
        <w:t xml:space="preserve">、手柄、支架、锁、小五金等</w:t>
      </w:r>
      <w:r/>
    </w:p>
    <w:p>
      <w:pPr>
        <w:ind w:firstLine="566"/>
        <w:spacing w:line="360" w:lineRule="auto"/>
        <w:rPr>
          <w:rFonts w:hint="eastAsia" w:cs="楷体"/>
        </w:rPr>
      </w:pPr>
      <w:r>
        <w:rPr>
          <w:rFonts w:hint="eastAsia" w:cs="楷体"/>
        </w:rPr>
        <w:t xml:space="preserve">2.1</w:t>
      </w:r>
      <w:r>
        <w:rPr>
          <w:rFonts w:hint="eastAsia" w:cs="楷体"/>
        </w:rPr>
        <w:t xml:space="preserve">、</w:t>
      </w:r>
      <w:r>
        <w:rPr>
          <w:rFonts w:hint="eastAsia" w:cs="楷体"/>
        </w:rPr>
        <w:t xml:space="preserve">设备内使用的小五金，如手柄、铰链、导轨（滑道）、锁等必须为铜合金制品及镀铬抛光或不锈钢制造。</w:t>
      </w:r>
      <w:r/>
    </w:p>
    <w:p>
      <w:pPr>
        <w:ind w:firstLine="566"/>
        <w:spacing w:line="360" w:lineRule="auto"/>
        <w:rPr>
          <w:rFonts w:hint="eastAsia" w:cs="楷体"/>
        </w:rPr>
      </w:pPr>
      <w:r>
        <w:rPr>
          <w:rFonts w:hint="eastAsia" w:cs="楷体"/>
        </w:rPr>
        <w:t xml:space="preserve">2.2</w:t>
      </w:r>
      <w:r>
        <w:rPr>
          <w:rFonts w:hint="eastAsia" w:cs="楷体"/>
        </w:rPr>
        <w:t xml:space="preserve">、</w:t>
      </w:r>
      <w:r>
        <w:rPr>
          <w:rFonts w:hint="eastAsia" w:cs="楷体"/>
        </w:rPr>
        <w:t xml:space="preserve">所有抽屉、柜、冰箱等使用的手柄，必须为圆弧形及镀铬抛光。所有的锁必须牢固结实。</w:t>
      </w:r>
      <w:r/>
    </w:p>
    <w:p>
      <w:pPr>
        <w:ind w:firstLine="566"/>
        <w:spacing w:line="360" w:lineRule="auto"/>
        <w:rPr>
          <w:rFonts w:hint="eastAsia" w:cs="楷体"/>
        </w:rPr>
      </w:pPr>
      <w:r>
        <w:rPr>
          <w:rFonts w:hint="eastAsia" w:cs="楷体"/>
        </w:rPr>
        <w:t xml:space="preserve">2.3.所有滚轮都必须含有轴承，静音。</w:t>
      </w:r>
      <w:r/>
    </w:p>
    <w:p>
      <w:pPr>
        <w:ind w:firstLine="566"/>
        <w:spacing w:line="360" w:lineRule="auto"/>
        <w:rPr>
          <w:rFonts w:hint="eastAsia" w:cs="楷体"/>
          <w:b/>
        </w:rPr>
      </w:pPr>
      <w:r>
        <w:rPr>
          <w:rFonts w:cs="楷体"/>
          <w:b/>
        </w:rPr>
        <w:t xml:space="preserve">3</w:t>
      </w:r>
      <w:r>
        <w:rPr>
          <w:rFonts w:hint="eastAsia" w:cs="楷体"/>
          <w:b/>
        </w:rPr>
        <w:t xml:space="preserve">、焊接</w:t>
      </w:r>
      <w:r/>
    </w:p>
    <w:p>
      <w:pPr>
        <w:ind w:firstLine="566"/>
        <w:spacing w:line="360" w:lineRule="auto"/>
        <w:rPr>
          <w:rFonts w:hint="eastAsia" w:cs="楷体"/>
        </w:rPr>
      </w:pPr>
      <w:r>
        <w:rPr>
          <w:rFonts w:hint="eastAsia" w:cs="楷体"/>
        </w:rPr>
        <w:t xml:space="preserve">3.1焊接必须采用气体保护氩弧焊或电弧焊，不允许采用其它焊接方式。焊条需与金属本身成份相同，焊接需透彻光洁，不能有砂眼、裂缝等不完整的地方。焊缝必须坚固及有韧性。多余的填料必须磨平及抛光至与被焊接物本身的颜色一样。器具的工作面如工作台、泄水板、洗盆等，均需焊接。如器具制造是超过一块不锈钢板时，两件不锈钢板必须碰口连接地焊接，及磨平处理。而不能采用补底点焊，再填锡方式。</w:t>
      </w:r>
      <w:r/>
    </w:p>
    <w:p>
      <w:pPr>
        <w:ind w:firstLine="566"/>
        <w:spacing w:line="360" w:lineRule="auto"/>
        <w:rPr>
          <w:rFonts w:hint="eastAsia" w:cs="楷体"/>
        </w:rPr>
      </w:pPr>
      <w:r>
        <w:rPr>
          <w:rFonts w:hint="eastAsia" w:cs="楷体"/>
        </w:rPr>
        <w:t xml:space="preserve">3.2所有焊接应尽量在工厂内进行及作表面处理，花纹应磨平抛光处理与原来的不锈钢一样，设备应尽量减少焊接，所有需要在工地焊接的设备必须采用气体保护氩弧焊或电弧焊</w:t>
      </w:r>
      <w:r>
        <w:rPr>
          <w:rFonts w:hint="eastAsia" w:cs="楷体"/>
        </w:rPr>
        <w:t xml:space="preserve">接及磨平、抛光处理平滑。磨平抛光方法将按以下的“磨平、抛光、表面处理”一节进行。焊线底部应施以防锈处理，以防经焊接后发生锈蚀。</w:t>
      </w:r>
      <w:r/>
    </w:p>
    <w:p>
      <w:pPr>
        <w:ind w:firstLine="566"/>
        <w:spacing w:line="360" w:lineRule="auto"/>
        <w:rPr>
          <w:rFonts w:hint="eastAsia" w:cs="楷体"/>
        </w:rPr>
      </w:pPr>
      <w:r>
        <w:rPr>
          <w:rFonts w:hint="eastAsia" w:cs="楷体"/>
        </w:rPr>
        <w:t xml:space="preserve">3.3焊接平整光滑无变形、焊点均匀、无虚焊漏焊，焊后毛刺焊渣除尽。</w:t>
      </w:r>
      <w:r/>
    </w:p>
    <w:p>
      <w:pPr>
        <w:ind w:firstLine="566"/>
        <w:spacing w:line="360" w:lineRule="auto"/>
        <w:rPr>
          <w:rFonts w:hint="eastAsia" w:cs="楷体"/>
          <w:b/>
        </w:rPr>
      </w:pPr>
      <w:r>
        <w:rPr>
          <w:rFonts w:cs="楷体"/>
          <w:b/>
        </w:rPr>
        <w:t xml:space="preserve">4</w:t>
      </w:r>
      <w:r>
        <w:rPr>
          <w:rFonts w:hint="eastAsia" w:cs="楷体"/>
          <w:b/>
        </w:rPr>
        <w:t xml:space="preserve">、磨平、抛光、表面处理</w:t>
      </w:r>
      <w:r/>
    </w:p>
    <w:p>
      <w:pPr>
        <w:ind w:firstLine="566"/>
        <w:spacing w:line="360" w:lineRule="auto"/>
        <w:rPr>
          <w:rFonts w:hint="eastAsia" w:cs="楷体"/>
        </w:rPr>
      </w:pPr>
      <w:r>
        <w:rPr>
          <w:rFonts w:hint="eastAsia" w:cs="楷体"/>
        </w:rPr>
        <w:t xml:space="preserve">4.1所有表面能看见的焊接即需要进行磨平、抛光及作表面处理，如果焊缝由于在焊接时产生形变，则需平整及磨平不能有高低点。在磨平时应避免不锈钢过热而变色。在工序处理时应先粗磨平，后精磨平，再抛光及作最后花纹表面处理。</w:t>
      </w:r>
      <w:r/>
    </w:p>
    <w:p>
      <w:pPr>
        <w:ind w:firstLine="566"/>
        <w:spacing w:line="360" w:lineRule="auto"/>
        <w:rPr>
          <w:rFonts w:hint="eastAsia" w:cs="楷体"/>
        </w:rPr>
      </w:pPr>
      <w:r>
        <w:rPr>
          <w:rFonts w:hint="eastAsia" w:cs="楷体"/>
        </w:rPr>
        <w:t xml:space="preserve">4.2所有由于不锈钢在加工时产生的折痕、锯齿边等问题都需要磨平、抛光。在圆角的地方需要磨平抛光圆滑。所有焊缝在磨平后不能有重叠现象。</w:t>
      </w:r>
      <w:r/>
    </w:p>
    <w:p>
      <w:pPr>
        <w:ind w:firstLine="566"/>
        <w:spacing w:line="360" w:lineRule="auto"/>
        <w:rPr>
          <w:rFonts w:hint="eastAsia" w:cs="楷体"/>
          <w:b/>
        </w:rPr>
      </w:pPr>
      <w:r>
        <w:rPr>
          <w:rFonts w:hint="eastAsia" w:cs="楷体"/>
          <w:b/>
        </w:rPr>
        <w:t xml:space="preserve">5、防锈处理</w:t>
      </w:r>
      <w:r/>
    </w:p>
    <w:p>
      <w:pPr>
        <w:ind w:firstLine="566"/>
        <w:spacing w:line="360" w:lineRule="auto"/>
        <w:rPr>
          <w:rFonts w:hint="eastAsia" w:cs="楷体"/>
        </w:rPr>
      </w:pPr>
      <w:r>
        <w:rPr>
          <w:rFonts w:hint="eastAsia" w:cs="楷体"/>
        </w:rPr>
        <w:t xml:space="preserve">5.1不锈钢在焊接后为防止氧化腐蚀，须经防锈处理。在焊接表面抛光后施以化学防锈处理以防止锈蚀，底部适当地磨平后施以相同的防锈处理或涂上金属色泽的防锈涂料。</w:t>
      </w:r>
      <w:r/>
    </w:p>
    <w:p>
      <w:pPr>
        <w:ind w:firstLine="566"/>
        <w:spacing w:line="360" w:lineRule="auto"/>
        <w:rPr>
          <w:rFonts w:hint="eastAsia" w:cs="楷体"/>
        </w:rPr>
      </w:pPr>
      <w:r>
        <w:rPr>
          <w:rFonts w:hint="eastAsia" w:cs="楷体"/>
        </w:rPr>
        <w:t xml:space="preserve">5.2当焊接镀锌结构件时，应尽量在结构件未镀锌时焊接，如果必须要焊接镀锌结构件，则需在焊接后进行表面磨平并涂上金属光泽的防锈涂料。</w:t>
      </w:r>
      <w:r/>
    </w:p>
    <w:p>
      <w:pPr>
        <w:contextualSpacing/>
        <w:ind w:firstLine="480"/>
        <w:spacing w:line="360" w:lineRule="auto"/>
        <w:rPr>
          <w:rFonts w:hint="eastAsia" w:cs="楷体"/>
        </w:rPr>
      </w:pPr>
      <w:r>
        <w:rPr>
          <w:rFonts w:hint="eastAsia" w:cs="楷体"/>
        </w:rPr>
        <w:t xml:space="preserve">5.3所有的其它钢铁材质结构件必须对表面进行除锈，磨平处理后涂刷防锈防腐涂料。</w:t>
      </w:r>
      <w:r/>
    </w:p>
    <w:p>
      <w:pPr>
        <w:ind w:firstLine="566"/>
        <w:spacing w:line="360" w:lineRule="auto"/>
        <w:rPr>
          <w:rFonts w:hint="eastAsia" w:cs="楷体"/>
          <w:b/>
        </w:rPr>
      </w:pPr>
      <w:r>
        <w:rPr>
          <w:rFonts w:hint="eastAsia" w:cs="楷体"/>
          <w:b/>
        </w:rPr>
        <w:t xml:space="preserve">6、材料、设备及工程进度</w:t>
      </w:r>
      <w:r/>
    </w:p>
    <w:p>
      <w:pPr>
        <w:ind w:firstLine="566"/>
        <w:spacing w:line="360" w:lineRule="auto"/>
        <w:rPr>
          <w:rFonts w:hint="eastAsia" w:cs="楷体"/>
        </w:rPr>
      </w:pPr>
      <w:r>
        <w:rPr>
          <w:rFonts w:hint="eastAsia" w:cs="楷体"/>
        </w:rPr>
        <w:t xml:space="preserve">6</w:t>
      </w:r>
      <w:r>
        <w:rPr>
          <w:rFonts w:cs="楷体"/>
        </w:rPr>
        <w:t xml:space="preserve">.1</w:t>
      </w:r>
      <w:r>
        <w:rPr>
          <w:rFonts w:hint="eastAsia" w:cs="楷体"/>
        </w:rPr>
        <w:t xml:space="preserve">所有材料、设备等均须全新及按技术规格交付采购人。自行制造设备的手工工艺需要达到本行业内高水准的工艺。产品需坚固、耐用、美观。</w:t>
      </w:r>
      <w:r/>
    </w:p>
    <w:p>
      <w:pPr>
        <w:contextualSpacing/>
        <w:ind w:firstLine="480"/>
        <w:spacing w:line="360" w:lineRule="auto"/>
        <w:rPr>
          <w:rFonts w:hint="eastAsia" w:cs="楷体"/>
        </w:rPr>
      </w:pPr>
      <w:r>
        <w:rPr>
          <w:rFonts w:cs="楷体"/>
        </w:rPr>
        <w:t xml:space="preserve">6.</w:t>
      </w:r>
      <w:r>
        <w:rPr>
          <w:rFonts w:hint="eastAsia" w:cs="楷体"/>
        </w:rPr>
        <w:t xml:space="preserve">2本合同要求</w:t>
      </w:r>
      <w:r>
        <w:rPr>
          <w:rFonts w:hint="eastAsia"/>
        </w:rPr>
        <w:t xml:space="preserve">中标</w:t>
      </w:r>
      <w:r>
        <w:rPr>
          <w:rFonts w:hint="eastAsia" w:cs="楷体"/>
        </w:rPr>
        <w:t xml:space="preserve">人与其它有关行业供应商紧密配合工作，以保证工程进度。</w:t>
      </w:r>
      <w:r/>
    </w:p>
    <w:p>
      <w:pPr>
        <w:ind w:firstLine="566"/>
        <w:spacing w:line="360" w:lineRule="auto"/>
        <w:rPr>
          <w:rFonts w:hint="eastAsia" w:cs="楷体"/>
          <w:b/>
        </w:rPr>
      </w:pPr>
      <w:r>
        <w:rPr>
          <w:rFonts w:hint="eastAsia" w:cs="楷体"/>
          <w:b/>
        </w:rPr>
        <w:t xml:space="preserve">7、运行说明及保养说明:</w:t>
      </w:r>
      <w:r>
        <w:rPr>
          <w:rFonts w:hint="eastAsia" w:cs="楷体"/>
        </w:rPr>
        <w:t xml:space="preserve">所有制冷、加热及机械运转的设备都需要进行运转调试，使其能达到设计及行业规范标准，并处于最佳运行状态。所有的运行及保养说明书应交付</w:t>
      </w:r>
      <w:r>
        <w:rPr>
          <w:rFonts w:hint="eastAsia" w:cs="楷体"/>
        </w:rPr>
        <w:t xml:space="preserve">采购人</w:t>
      </w:r>
      <w:r>
        <w:rPr>
          <w:rFonts w:hint="eastAsia" w:cs="楷体"/>
        </w:rPr>
        <w:t xml:space="preserve">指定的负责人，并需对全体使用人员进行使用培训及系统讲解，以确保设备的正常使用和维护保养。</w:t>
      </w:r>
      <w:r/>
    </w:p>
    <w:p>
      <w:pPr>
        <w:ind w:firstLine="566"/>
        <w:spacing w:line="360" w:lineRule="auto"/>
        <w:rPr>
          <w:rFonts w:hint="eastAsia" w:cs="楷体"/>
          <w:b/>
        </w:rPr>
      </w:pPr>
      <w:r>
        <w:rPr>
          <w:rFonts w:cs="楷体"/>
          <w:b/>
        </w:rPr>
        <w:t xml:space="preserve">8</w:t>
      </w:r>
      <w:r>
        <w:rPr>
          <w:rFonts w:hint="eastAsia" w:cs="楷体"/>
          <w:b/>
        </w:rPr>
        <w:t xml:space="preserve">、</w:t>
      </w:r>
      <w:r>
        <w:rPr>
          <w:rFonts w:hint="eastAsia" w:cs="楷体"/>
          <w:b/>
        </w:rPr>
        <w:t xml:space="preserve">蒸汽</w:t>
      </w:r>
      <w:r>
        <w:rPr>
          <w:rFonts w:hint="eastAsia" w:cs="楷体"/>
          <w:b/>
        </w:rPr>
        <w:t xml:space="preserve">加热设备</w:t>
      </w:r>
      <w:r/>
    </w:p>
    <w:p>
      <w:pPr>
        <w:ind w:firstLine="566"/>
        <w:spacing w:line="360" w:lineRule="auto"/>
        <w:rPr>
          <w:rFonts w:hint="eastAsia" w:cs="楷体"/>
        </w:rPr>
      </w:pPr>
      <w:r>
        <w:rPr>
          <w:rFonts w:cs="楷体"/>
        </w:rPr>
        <w:t xml:space="preserve">8</w:t>
      </w:r>
      <w:r>
        <w:rPr>
          <w:rFonts w:hint="eastAsia" w:cs="楷体"/>
        </w:rPr>
        <w:t xml:space="preserve">.1 所有</w:t>
      </w:r>
      <w:r>
        <w:rPr>
          <w:rFonts w:hint="eastAsia" w:cs="楷体"/>
        </w:rPr>
        <w:t xml:space="preserve">蒸汽</w:t>
      </w:r>
      <w:r>
        <w:rPr>
          <w:rFonts w:hint="eastAsia" w:cs="楷体"/>
        </w:rPr>
        <w:t xml:space="preserve">加热设备应是独立安装及独立控制。控制阀应安装在容易检查及维修的位置及贴上所须标示。</w:t>
      </w:r>
      <w:r/>
    </w:p>
    <w:p>
      <w:pPr>
        <w:ind w:firstLine="566"/>
        <w:spacing w:line="360" w:lineRule="auto"/>
        <w:rPr>
          <w:rFonts w:hint="eastAsia" w:cs="楷体"/>
        </w:rPr>
      </w:pPr>
      <w:r>
        <w:rPr>
          <w:rFonts w:cs="楷体"/>
        </w:rPr>
        <w:t xml:space="preserve">8</w:t>
      </w:r>
      <w:r>
        <w:rPr>
          <w:rFonts w:hint="eastAsia" w:cs="楷体"/>
        </w:rPr>
        <w:t xml:space="preserve">.2.当需要使用</w:t>
      </w:r>
      <w:r>
        <w:rPr>
          <w:rFonts w:hint="eastAsia" w:cs="楷体"/>
        </w:rPr>
        <w:t xml:space="preserve">蒸汽</w:t>
      </w:r>
      <w:r>
        <w:rPr>
          <w:rFonts w:hint="eastAsia" w:cs="楷体"/>
        </w:rPr>
        <w:t xml:space="preserve">加热设备或该设备需要时，所需设备的材料尺寸和能源消耗量应与设备项目或细节中的说明一致。设备应安装于容易清洗及移动的位置上。</w:t>
      </w:r>
      <w:r/>
    </w:p>
    <w:p>
      <w:pPr>
        <w:pStyle w:val="907"/>
        <w:spacing w:line="360" w:lineRule="auto"/>
        <w:rPr>
          <w:rFonts w:hint="eastAsia"/>
          <w:color w:val="auto"/>
        </w:rPr>
      </w:pPr>
      <w:r>
        <w:rPr>
          <w:rFonts w:hint="eastAsia"/>
          <w:color w:val="auto"/>
        </w:rPr>
        <w:t xml:space="preserve">     </w:t>
      </w:r>
      <w:r>
        <w:rPr>
          <w:rFonts w:hint="eastAsia" w:ascii="宋体" w:hAnsi="宋体" w:cs="楷体"/>
          <w:color w:val="auto"/>
        </w:rPr>
        <w:t xml:space="preserve">  </w:t>
      </w:r>
      <w:r>
        <w:rPr>
          <w:rFonts w:hint="eastAsia" w:ascii="宋体" w:hAnsi="宋体" w:cs="楷体"/>
          <w:b/>
          <w:bCs/>
          <w:color w:val="auto"/>
        </w:rPr>
        <w:t xml:space="preserve">8.3.蒸汽加热设备安装</w:t>
      </w:r>
      <w:r>
        <w:rPr>
          <w:rFonts w:hint="eastAsia" w:ascii="宋体" w:hAnsi="宋体" w:cs="楷体"/>
          <w:b/>
          <w:bCs/>
          <w:color w:val="auto"/>
        </w:rPr>
        <w:t xml:space="preserve">运行所需管道、</w:t>
      </w:r>
      <w:r>
        <w:rPr>
          <w:rFonts w:hint="eastAsia" w:ascii="宋体" w:hAnsi="宋体" w:cs="楷体"/>
          <w:b/>
          <w:bCs/>
          <w:color w:val="auto"/>
        </w:rPr>
        <w:t xml:space="preserve">辅材</w:t>
      </w:r>
      <w:r>
        <w:rPr>
          <w:rFonts w:hint="eastAsia" w:ascii="宋体" w:hAnsi="宋体" w:cs="楷体"/>
          <w:b/>
          <w:bCs/>
          <w:color w:val="auto"/>
        </w:rPr>
        <w:t xml:space="preserve">（包括但不限于蒸汽主管含保温、蒸汽支管</w:t>
      </w:r>
      <w:r>
        <w:rPr>
          <w:rFonts w:hint="eastAsia" w:ascii="宋体" w:hAnsi="宋体" w:cs="楷体"/>
          <w:b/>
          <w:bCs/>
          <w:color w:val="auto"/>
        </w:rPr>
        <w:t xml:space="preserve">含保温、蒸汽总管阀门、蒸汽支管阀门、安装配件）</w:t>
      </w:r>
      <w:r>
        <w:rPr>
          <w:rFonts w:hint="eastAsia" w:ascii="宋体" w:hAnsi="宋体" w:cs="楷体"/>
          <w:b/>
          <w:bCs/>
          <w:color w:val="auto"/>
        </w:rPr>
        <w:t xml:space="preserve">由中标人自行考虑，该费用已包含在投标报价中，采购人不另行支付。</w:t>
      </w:r>
      <w:r/>
    </w:p>
    <w:p>
      <w:pPr>
        <w:ind w:firstLine="566"/>
        <w:spacing w:line="360" w:lineRule="auto"/>
        <w:rPr>
          <w:rFonts w:hint="eastAsia" w:cs="楷体"/>
          <w:b/>
        </w:rPr>
      </w:pPr>
      <w:r>
        <w:rPr>
          <w:rFonts w:cs="楷体"/>
          <w:b/>
        </w:rPr>
        <w:t xml:space="preserve">9</w:t>
      </w:r>
      <w:r>
        <w:rPr>
          <w:rFonts w:hint="eastAsia" w:cs="楷体"/>
          <w:b/>
        </w:rPr>
        <w:t xml:space="preserve">、电热设备：</w:t>
      </w:r>
      <w:r>
        <w:rPr>
          <w:rFonts w:hint="eastAsia" w:cs="楷体"/>
        </w:rPr>
        <w:t xml:space="preserve">所有电热设备之电线应在其内部连接到衡温控制器和“开/关”指示灯上。符合国家强制性规定。</w:t>
      </w:r>
      <w:r/>
    </w:p>
    <w:p>
      <w:pPr>
        <w:ind w:firstLine="482"/>
        <w:spacing w:line="360" w:lineRule="auto"/>
        <w:rPr>
          <w:rFonts w:hint="eastAsia"/>
          <w:b/>
        </w:rPr>
      </w:pPr>
      <w:r>
        <w:rPr>
          <w:rFonts w:hint="eastAsia"/>
          <w:b/>
        </w:rPr>
        <w:t xml:space="preserve">四、验收标准</w:t>
      </w:r>
      <w:r/>
    </w:p>
    <w:p>
      <w:pPr>
        <w:ind w:firstLine="480"/>
        <w:spacing w:line="360" w:lineRule="auto"/>
        <w:rPr>
          <w:rFonts w:hint="eastAsia" w:cs="楷体"/>
        </w:rPr>
      </w:pPr>
      <w:r>
        <w:rPr>
          <w:rFonts w:hint="eastAsia" w:cs="楷体"/>
        </w:rPr>
        <w:t xml:space="preserve">1、投标人应在投标文件中提供一份项目验收方案，在采购人确认后作为采购人验收的依据。但此标准不得对抗质监部门的验收和采购文件中有关验收的条款要求。</w:t>
      </w:r>
      <w:r/>
    </w:p>
    <w:p>
      <w:pPr>
        <w:ind w:firstLine="480"/>
        <w:spacing w:line="360" w:lineRule="auto"/>
        <w:rPr>
          <w:rFonts w:hint="eastAsia" w:cs="楷体"/>
        </w:rPr>
      </w:pPr>
      <w:r>
        <w:rPr>
          <w:rFonts w:hint="eastAsia" w:cs="楷体"/>
        </w:rPr>
        <w:t xml:space="preserve">2、投标人需提供质保书、保修证明等书面资料，货号须与</w:t>
      </w:r>
      <w:r>
        <w:rPr>
          <w:rFonts w:hint="eastAsia" w:cs="楷体"/>
        </w:rPr>
        <w:t xml:space="preserve">投标</w:t>
      </w:r>
      <w:r>
        <w:rPr>
          <w:rFonts w:hint="eastAsia" w:cs="楷体"/>
        </w:rPr>
        <w:t xml:space="preserve">文件相符，并按国家制造和安装的标准要求检测验收。另外如双方对验收结果有分歧，则以常州市技术监督局的检验结果为准，检验费由</w:t>
      </w:r>
      <w:r>
        <w:rPr>
          <w:rFonts w:hint="eastAsia" w:cs="楷体"/>
        </w:rPr>
        <w:t xml:space="preserve">中标</w:t>
      </w:r>
      <w:r>
        <w:rPr>
          <w:rFonts w:hint="eastAsia" w:cs="楷体"/>
        </w:rPr>
        <w:t xml:space="preserve">单位负责。</w:t>
      </w:r>
      <w:r/>
    </w:p>
    <w:p>
      <w:pPr>
        <w:ind w:firstLine="480"/>
        <w:spacing w:line="360" w:lineRule="auto"/>
        <w:rPr>
          <w:rFonts w:hint="eastAsia" w:cs="楷体"/>
        </w:rPr>
      </w:pPr>
      <w:r>
        <w:rPr>
          <w:rFonts w:hint="eastAsia" w:cs="楷体"/>
        </w:rPr>
        <w:t xml:space="preserve">3、在设备性能测试和试运行期间所暴露的问题获得买方满意的解决。</w:t>
      </w:r>
      <w:r/>
    </w:p>
    <w:p>
      <w:pPr>
        <w:ind w:right="210" w:firstLine="480"/>
        <w:spacing w:line="360" w:lineRule="auto"/>
        <w:rPr>
          <w:rFonts w:hint="eastAsia"/>
        </w:rPr>
      </w:pPr>
      <w:r>
        <w:rPr>
          <w:rFonts w:hint="eastAsia"/>
        </w:rPr>
        <w:t xml:space="preserve">4、中标人在交货时，需向采购人提供装箱清单和检验合格证。</w:t>
      </w:r>
      <w:r/>
    </w:p>
    <w:p>
      <w:pPr>
        <w:ind w:firstLine="482"/>
        <w:spacing w:line="360" w:lineRule="auto"/>
        <w:rPr>
          <w:rFonts w:hint="eastAsia" w:cs="楷体"/>
        </w:rPr>
      </w:pPr>
      <w:r>
        <w:rPr>
          <w:rFonts w:hint="eastAsia" w:cs="楷体"/>
        </w:rPr>
        <w:t xml:space="preserve">5、技术规范要求中提到的技术资料、工具、备件等按规定的数量移交。</w:t>
      </w:r>
      <w:r/>
    </w:p>
    <w:p>
      <w:pPr>
        <w:ind w:firstLine="482"/>
        <w:spacing w:line="360" w:lineRule="auto"/>
        <w:rPr>
          <w:rFonts w:hint="eastAsia" w:cs="楷体"/>
        </w:rPr>
      </w:pPr>
      <w:r>
        <w:rPr>
          <w:rFonts w:hint="eastAsia" w:cs="楷体"/>
        </w:rPr>
        <w:t xml:space="preserve">6、接受采购人对所有厨房设备进行抽样检测或全部检测(检测单位由采购人指定)，若检测结果不符合参数要求，同意退货，并承担不合格产品的100%惩罚性赔偿以及全部检测费用。检测合格的相关检测费用由采购人支付。</w:t>
      </w:r>
      <w:r/>
    </w:p>
    <w:p>
      <w:pPr>
        <w:ind w:firstLine="482"/>
        <w:spacing w:line="360" w:lineRule="auto"/>
        <w:rPr>
          <w:rFonts w:hint="eastAsia" w:cs="楷体"/>
        </w:rPr>
      </w:pPr>
      <w:r>
        <w:rPr>
          <w:rFonts w:hint="eastAsia" w:cs="楷体"/>
        </w:rPr>
        <w:t xml:space="preserve">7、</w:t>
      </w:r>
      <w:r>
        <w:rPr>
          <w:rFonts w:hint="eastAsia" w:cs="楷体"/>
        </w:rPr>
        <w:t xml:space="preserve">燃气设备、制冷设备、预埋式冷库、食品机械设备、</w:t>
      </w:r>
      <w:bookmarkStart w:id="461" w:name="OLE_LINK14"/>
      <w:r>
        <w:rPr>
          <w:rFonts w:hint="eastAsia" w:cs="楷体"/>
        </w:rPr>
        <w:t xml:space="preserve">电磁热加工设备</w:t>
      </w:r>
      <w:bookmarkEnd w:id="461"/>
      <w:r>
        <w:rPr>
          <w:rFonts w:hint="eastAsia" w:cs="楷体"/>
        </w:rPr>
        <w:t xml:space="preserve">、洗碗消毒设备应当法律法规以及国家强制性标准。用电设备或电热、蒸汽设备，需符合当地最新之标准，燃气用具需符合当地燃气法规和相关管理部门的认可。</w:t>
      </w:r>
      <w:bookmarkStart w:id="462" w:name="OLE_LINK11"/>
      <w:r/>
      <w:bookmarkEnd w:id="462"/>
      <w:r/>
    </w:p>
    <w:p>
      <w:pPr>
        <w:ind w:right="210" w:firstLine="480"/>
        <w:spacing w:line="360" w:lineRule="auto"/>
        <w:rPr>
          <w:rFonts w:hint="eastAsia"/>
        </w:rPr>
      </w:pPr>
      <w:r>
        <w:rPr>
          <w:rFonts w:hint="eastAsia"/>
        </w:rPr>
        <w:t xml:space="preserve">8</w:t>
      </w:r>
      <w:r>
        <w:rPr>
          <w:rFonts w:hint="eastAsia"/>
        </w:rPr>
        <w:t xml:space="preserve">、投标产品所选用主材、辅材须达到或超过本招标文件和国家相关规定的要求。采购人在认为有必要时可对中标产品相应主材、辅材进行检测，如检测不符合国家相应标准或招标文件中设定的标准，将判定所供设备不合格，同时中标人必须承担由此给采购人造成的损失；如检测符合国家相应标准或招标文件中设定的标准，其检测费由采购人承担。</w:t>
      </w:r>
      <w:r/>
    </w:p>
    <w:p>
      <w:pPr>
        <w:ind w:right="210" w:firstLine="480"/>
        <w:spacing w:line="360" w:lineRule="auto"/>
        <w:rPr>
          <w:rFonts w:hint="eastAsia"/>
        </w:rPr>
      </w:pPr>
      <w:r>
        <w:rPr>
          <w:rFonts w:hint="eastAsia"/>
        </w:rPr>
        <w:t xml:space="preserve">9</w:t>
      </w:r>
      <w:r>
        <w:rPr>
          <w:rFonts w:hint="eastAsia"/>
        </w:rPr>
        <w:t xml:space="preserve">、</w:t>
      </w:r>
      <w:r>
        <w:t xml:space="preserve">对货物安装验收不合格时，</w:t>
      </w:r>
      <w:r>
        <w:rPr>
          <w:rFonts w:hint="eastAsia"/>
        </w:rPr>
        <w:t xml:space="preserve">中</w:t>
      </w:r>
      <w:r>
        <w:t xml:space="preserve">标</w:t>
      </w:r>
      <w:r>
        <w:rPr>
          <w:rFonts w:hint="eastAsia"/>
        </w:rPr>
        <w:t xml:space="preserve">人</w:t>
      </w:r>
      <w:r>
        <w:t xml:space="preserve">应予以免费调换，直至符合规定，采购人不承担因调退货而发生的任何费用和责任，如因货物质量给采购人带来的损失，</w:t>
      </w:r>
      <w:r>
        <w:rPr>
          <w:rFonts w:hint="eastAsia"/>
        </w:rPr>
        <w:t xml:space="preserve">中</w:t>
      </w:r>
      <w:r>
        <w:t xml:space="preserve">标</w:t>
      </w:r>
      <w:r>
        <w:rPr>
          <w:rFonts w:hint="eastAsia"/>
        </w:rPr>
        <w:t xml:space="preserve">人</w:t>
      </w:r>
      <w:r>
        <w:t xml:space="preserve">还应赔偿采购人直接损失费用。</w:t>
      </w:r>
      <w:r>
        <w:rPr>
          <w:rFonts w:hint="eastAsia"/>
        </w:rPr>
        <w:t xml:space="preserve">投标人需更换合格的产品，更换设备期间不得影响厨房正常运营。</w:t>
      </w:r>
      <w:r/>
    </w:p>
    <w:p>
      <w:pPr>
        <w:ind w:firstLine="480"/>
        <w:spacing w:line="360" w:lineRule="auto"/>
        <w:rPr>
          <w:rFonts w:hint="eastAsia" w:cs="楷体"/>
        </w:rPr>
      </w:pPr>
      <w:r>
        <w:rPr>
          <w:rFonts w:hint="eastAsia"/>
        </w:rPr>
        <w:t xml:space="preserve">10</w:t>
      </w:r>
      <w:r>
        <w:rPr>
          <w:rFonts w:hint="eastAsia"/>
        </w:rPr>
        <w:t xml:space="preserve">、经双方共同验收，产品性能参数达不到采购合同要求的，采购人可以拒收，并可以解除合同。</w:t>
      </w:r>
      <w:r/>
    </w:p>
    <w:p>
      <w:pPr>
        <w:ind w:firstLine="482"/>
        <w:spacing w:line="360" w:lineRule="auto"/>
        <w:rPr>
          <w:rFonts w:hint="eastAsia"/>
          <w:b/>
        </w:rPr>
      </w:pPr>
      <w:r>
        <w:rPr>
          <w:rFonts w:hint="eastAsia"/>
          <w:b/>
        </w:rPr>
        <w:t xml:space="preserve">五、报价说明</w:t>
      </w:r>
      <w:r/>
    </w:p>
    <w:p>
      <w:pPr>
        <w:pStyle w:val="927"/>
        <w:ind w:firstLine="480"/>
        <w:spacing w:before="0" w:line="360" w:lineRule="auto"/>
        <w:rPr>
          <w:rFonts w:hint="eastAsia" w:cs="宋体"/>
        </w:rPr>
      </w:pPr>
      <w:r>
        <w:rPr>
          <w:rFonts w:hint="eastAsia" w:cs="宋体"/>
        </w:rPr>
        <w:t xml:space="preserve">1、货物报价：投标报价为</w:t>
      </w:r>
      <w:r>
        <w:rPr>
          <w:rFonts w:hint="eastAsia" w:cs="宋体"/>
        </w:rPr>
        <w:t xml:space="preserve">总价报价</w:t>
      </w:r>
      <w:r>
        <w:rPr>
          <w:rFonts w:hint="eastAsia" w:cs="宋体"/>
        </w:rPr>
        <w:t xml:space="preserve">，投标总价不得</w:t>
      </w:r>
      <w:r>
        <w:rPr>
          <w:rFonts w:hint="eastAsia" w:cs="宋体"/>
        </w:rPr>
        <w:t xml:space="preserve">超过</w:t>
      </w:r>
      <w:r>
        <w:rPr>
          <w:rFonts w:hint="eastAsia" w:cs="宋体"/>
        </w:rPr>
        <w:t xml:space="preserve">最高限价。投标总价包括所投货物及其备品、备件和专用工具费用、税费及包装、运至最终目的地的运输、仓储、保险、现场吊装、检测验收、检测费、安装调试、技术支持与培训、售后服务与维保及相关劳务支出等工作所发生的全部费用、企业利润、税金和政策性文件规定以及质保期间的一切费用，但不限于上述费用。</w:t>
      </w:r>
      <w:r/>
    </w:p>
    <w:p>
      <w:pPr>
        <w:pStyle w:val="927"/>
        <w:ind w:firstLine="480"/>
        <w:spacing w:before="0" w:line="360" w:lineRule="auto"/>
        <w:rPr>
          <w:rFonts w:hint="eastAsia" w:cs="宋体"/>
          <w:b/>
        </w:rPr>
      </w:pPr>
      <w:r>
        <w:rPr>
          <w:rFonts w:hint="eastAsia" w:cs="宋体"/>
          <w:b/>
        </w:rPr>
        <w:t xml:space="preserve">2、本投标文件中的技术要求不得被认为是详尽无遗的，无论规定与否，投标人应提供所有招标文件没有规定但投标人认为完成本项目必要或必须的设备和材料、辅件。</w:t>
      </w:r>
      <w:r/>
    </w:p>
    <w:p>
      <w:pPr>
        <w:pStyle w:val="957"/>
        <w:ind w:firstLine="482"/>
        <w:spacing w:before="0" w:beforeAutospacing="0" w:after="0" w:afterAutospacing="0" w:line="440" w:lineRule="exact"/>
        <w:rPr>
          <w:rFonts w:hint="eastAsia"/>
          <w:b/>
          <w:bCs/>
        </w:rPr>
      </w:pPr>
      <w:r>
        <w:rPr>
          <w:rFonts w:hint="eastAsia"/>
          <w:b/>
          <w:bCs/>
        </w:rPr>
        <w:t xml:space="preserve">六、核心产品</w:t>
      </w:r>
      <w:r/>
    </w:p>
    <w:p>
      <w:pPr>
        <w:pStyle w:val="1038"/>
        <w:ind w:firstLine="482"/>
        <w:jc w:val="left"/>
        <w:spacing w:line="400" w:lineRule="exact"/>
        <w:rPr>
          <w:rFonts w:hint="eastAsia" w:ascii="宋体" w:hAnsi="宋体" w:cs="宋体"/>
          <w:b/>
          <w:sz w:val="24"/>
          <w:szCs w:val="20"/>
        </w:rPr>
      </w:pPr>
      <w:r>
        <w:rPr>
          <w:rFonts w:hint="eastAsia" w:ascii="宋体" w:hAnsi="宋体" w:cs="宋体"/>
          <w:b/>
          <w:sz w:val="24"/>
          <w:szCs w:val="20"/>
        </w:rPr>
        <w:t xml:space="preserve">本项目核心产品为：</w:t>
      </w:r>
      <w:r>
        <w:rPr>
          <w:rFonts w:hint="eastAsia" w:ascii="宋体" w:hAnsi="宋体" w:cs="宋体"/>
          <w:b/>
          <w:sz w:val="24"/>
          <w:szCs w:val="20"/>
          <w:u w:val="single"/>
        </w:rPr>
        <w:t xml:space="preserve">一包</w:t>
      </w:r>
      <w:r>
        <w:rPr>
          <w:rFonts w:hint="eastAsia" w:ascii="宋体" w:hAnsi="宋体" w:cs="宋体"/>
          <w:b/>
          <w:sz w:val="24"/>
          <w:szCs w:val="20"/>
          <w:u w:val="single"/>
        </w:rPr>
        <w:t xml:space="preserve">：</w:t>
      </w:r>
      <w:r>
        <w:rPr>
          <w:rFonts w:hint="eastAsia" w:ascii="宋体" w:hAnsi="宋体" w:cs="宋体"/>
          <w:b/>
          <w:sz w:val="24"/>
          <w:szCs w:val="20"/>
          <w:u w:val="single"/>
        </w:rPr>
        <w:t xml:space="preserve">双头大锅灶</w:t>
      </w:r>
      <w:r>
        <w:rPr>
          <w:rFonts w:hint="eastAsia" w:ascii="宋体" w:hAnsi="宋体" w:cs="宋体"/>
          <w:b/>
          <w:sz w:val="24"/>
          <w:szCs w:val="20"/>
          <w:u w:val="single"/>
        </w:rPr>
        <w:t xml:space="preserve">（采购清单序号</w:t>
      </w:r>
      <w:r>
        <w:rPr>
          <w:rFonts w:hint="eastAsia" w:ascii="宋体" w:hAnsi="宋体" w:cs="宋体"/>
          <w:b/>
          <w:sz w:val="24"/>
          <w:szCs w:val="20"/>
          <w:u w:val="single"/>
        </w:rPr>
        <w:t xml:space="preserve">62</w:t>
      </w:r>
      <w:r>
        <w:rPr>
          <w:rFonts w:hint="eastAsia" w:ascii="宋体" w:hAnsi="宋体" w:cs="宋体"/>
          <w:b/>
          <w:sz w:val="24"/>
          <w:szCs w:val="20"/>
          <w:u w:val="single"/>
        </w:rPr>
        <w:t xml:space="preserve">）。</w:t>
      </w:r>
      <w:r>
        <w:rPr>
          <w:rFonts w:hint="eastAsia" w:ascii="宋体" w:hAnsi="宋体" w:cs="宋体"/>
          <w:b/>
          <w:sz w:val="24"/>
          <w:szCs w:val="20"/>
          <w:u w:val="single"/>
        </w:rPr>
        <w:t xml:space="preserve">二包</w:t>
      </w:r>
      <w:r>
        <w:rPr>
          <w:rFonts w:hint="eastAsia" w:ascii="宋体" w:hAnsi="宋体" w:cs="宋体"/>
          <w:b/>
          <w:sz w:val="24"/>
          <w:szCs w:val="20"/>
          <w:u w:val="single"/>
        </w:rPr>
        <w:t xml:space="preserve">：双头大锅灶（采购清单序号</w:t>
      </w:r>
      <w:r>
        <w:rPr>
          <w:rFonts w:hint="eastAsia" w:ascii="宋体" w:hAnsi="宋体" w:cs="宋体"/>
          <w:b/>
          <w:sz w:val="24"/>
          <w:szCs w:val="20"/>
          <w:u w:val="single"/>
        </w:rPr>
        <w:t xml:space="preserve">64</w:t>
      </w:r>
      <w:r>
        <w:rPr>
          <w:rFonts w:hint="eastAsia" w:ascii="宋体" w:hAnsi="宋体" w:cs="宋体"/>
          <w:b/>
          <w:sz w:val="24"/>
          <w:szCs w:val="20"/>
          <w:u w:val="single"/>
        </w:rPr>
        <w:t xml:space="preserve">）</w:t>
      </w:r>
      <w:r/>
    </w:p>
    <w:p>
      <w:pPr>
        <w:pStyle w:val="957"/>
        <w:ind w:firstLine="482"/>
        <w:spacing w:before="0" w:beforeAutospacing="0" w:after="0" w:afterAutospacing="0" w:line="440" w:lineRule="exact"/>
        <w:rPr>
          <w:rFonts w:hint="eastAsia"/>
          <w:b/>
          <w:bCs/>
        </w:rPr>
      </w:pPr>
      <w:r>
        <w:rPr>
          <w:rFonts w:hint="eastAsia"/>
          <w:b/>
          <w:bCs/>
        </w:rPr>
        <w:t xml:space="preserve">七、</w:t>
      </w:r>
      <w:r>
        <w:rPr>
          <w:rFonts w:hint="eastAsia"/>
          <w:b/>
          <w:bCs/>
        </w:rPr>
        <w:t xml:space="preserve">图纸</w:t>
      </w:r>
      <w:r>
        <w:rPr>
          <w:rFonts w:hint="eastAsia"/>
          <w:b/>
          <w:bCs/>
        </w:rPr>
        <w:t xml:space="preserve">：</w:t>
      </w:r>
      <w:r/>
    </w:p>
    <w:p>
      <w:pPr>
        <w:pStyle w:val="957"/>
        <w:ind w:firstLine="482"/>
        <w:spacing w:before="0" w:beforeAutospacing="0" w:after="0" w:afterAutospacing="0" w:line="440" w:lineRule="exact"/>
        <w:rPr>
          <w:rFonts w:hint="eastAsia"/>
          <w:b/>
          <w:bCs/>
          <w:szCs w:val="22"/>
        </w:rPr>
      </w:pPr>
      <w:r>
        <w:rPr>
          <w:rFonts w:hint="eastAsia"/>
          <w:b/>
          <w:bCs/>
          <w:szCs w:val="22"/>
        </w:rPr>
        <w:t xml:space="preserve">下载链接</w:t>
      </w:r>
      <w:r>
        <w:rPr>
          <w:rFonts w:hint="eastAsia"/>
          <w:b/>
          <w:bCs/>
          <w:szCs w:val="22"/>
        </w:rPr>
        <w:t xml:space="preserve">：</w:t>
      </w:r>
      <w:bookmarkStart w:id="463" w:name="OLE_LINK35"/>
      <w:r>
        <w:rPr>
          <w:b/>
          <w:bCs/>
          <w:szCs w:val="22"/>
        </w:rPr>
        <w:t xml:space="preserve">https://www.jsxycxm.com:23118/sharing/5Km4tyaFR</w:t>
      </w:r>
      <w:bookmarkEnd w:id="463"/>
      <w:r/>
      <w:r/>
    </w:p>
    <w:p>
      <w:pPr>
        <w:pStyle w:val="1038"/>
        <w:ind w:firstLine="482"/>
        <w:jc w:val="left"/>
        <w:spacing w:line="400" w:lineRule="exact"/>
        <w:rPr>
          <w:rFonts w:hint="eastAsia" w:ascii="宋体" w:hAnsi="宋体" w:cs="宋体"/>
          <w:b/>
          <w:bCs/>
          <w:sz w:val="24"/>
        </w:rPr>
      </w:pPr>
      <w:r>
        <w:rPr>
          <w:rFonts w:hint="eastAsia" w:ascii="宋体" w:hAnsi="宋体" w:cs="宋体"/>
          <w:b/>
          <w:bCs/>
          <w:sz w:val="24"/>
        </w:rPr>
        <w:t xml:space="preserve">或扫描二维码下载</w:t>
      </w:r>
      <w:r>
        <w:rPr>
          <w:rFonts w:hint="eastAsia" w:ascii="宋体" w:hAnsi="宋体" w:cs="宋体"/>
          <w:b/>
          <w:bCs/>
          <w:sz w:val="24"/>
        </w:rPr>
        <w:t xml:space="preserve">：</w:t>
      </w:r>
      <w:r/>
    </w:p>
    <w:p>
      <w:pPr>
        <w:pStyle w:val="1038"/>
        <w:ind w:firstLine="482"/>
        <w:jc w:val="left"/>
        <w:spacing w:line="400" w:lineRule="exact"/>
        <w:rPr>
          <w:rFonts w:ascii="Segoe UI Symbol" w:hAnsi="Segoe UI Symbol" w:cs="Segoe UI Symbol"/>
          <w:sz w:val="24"/>
        </w:rPr>
      </w:pPr>
      <w:r>
        <w:rPr>
          <w:rFonts w:ascii="宋体" w:hAnsi="宋体" w:cs="宋体"/>
          <w:b/>
          <w:bCs/>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column">
                  <wp:posOffset>342900</wp:posOffset>
                </wp:positionH>
                <wp:positionV relativeFrom="paragraph">
                  <wp:posOffset>46990</wp:posOffset>
                </wp:positionV>
                <wp:extent cx="1400175" cy="1400175"/>
                <wp:effectExtent l="0" t="0" r="9525" b="9525"/>
                <wp:wrapSquare wrapText="bothSides"/>
                <wp:docPr id="4" name="图片 1" descr="QR 代码&#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3502799" name="图片 1" descr="QR 代码&#10;&#10;AI 生成的内容可能不正确。"/>
                        <pic:cNvPicPr>
                          <a:picLocks noChangeAspect="1"/>
                        </pic:cNvPicPr>
                        <pic:nvPr/>
                      </pic:nvPicPr>
                      <pic:blipFill>
                        <a:blip r:embed="rId22"/>
                        <a:stretch/>
                      </pic:blipFill>
                      <pic:spPr bwMode="auto">
                        <a:xfrm>
                          <a:off x="0" y="0"/>
                          <a:ext cx="1400175" cy="1400175"/>
                        </a:xfrm>
                        <a:prstGeom prst="rect">
                          <a:avLst/>
                        </a:prstGeom>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8240;o:allowoverlap:true;o:allowincell:true;mso-position-horizontal-relative:text;margin-left:27.0pt;mso-position-horizontal:absolute;mso-position-vertical-relative:text;margin-top:3.7pt;mso-position-vertical:absolute;width:110.2pt;height:110.2pt;mso-wrap-distance-left:9.0pt;mso-wrap-distance-top:0.0pt;mso-wrap-distance-right:9.0pt;mso-wrap-distance-bottom:0.0pt;" stroked="false">
                <v:path textboxrect="0,0,0,0"/>
                <w10:wrap type="square"/>
                <v:imagedata r:id="rId22" o:title=""/>
              </v:shape>
            </w:pict>
          </mc:Fallback>
        </mc:AlternateContent>
      </w:r>
      <w:r/>
    </w:p>
    <w:p>
      <w:pPr>
        <w:pStyle w:val="1038"/>
        <w:ind w:firstLine="480"/>
        <w:jc w:val="left"/>
        <w:spacing w:line="400" w:lineRule="exact"/>
        <w:rPr>
          <w:rFonts w:ascii="Segoe UI Symbol" w:hAnsi="Segoe UI Symbol" w:cs="Segoe UI Symbol"/>
          <w:sz w:val="24"/>
        </w:rPr>
      </w:pPr>
      <w:r>
        <w:rPr>
          <w:rFonts w:ascii="Segoe UI Symbol" w:hAnsi="Segoe UI Symbol" w:cs="Segoe UI Symbol"/>
          <w:sz w:val="24"/>
        </w:rPr>
      </w:r>
      <w:r/>
    </w:p>
    <w:p>
      <w:pPr>
        <w:pStyle w:val="1038"/>
        <w:ind w:firstLine="480"/>
        <w:jc w:val="left"/>
        <w:spacing w:line="400" w:lineRule="exact"/>
        <w:rPr>
          <w:rFonts w:ascii="Segoe UI Symbol" w:hAnsi="Segoe UI Symbol" w:cs="Segoe UI Symbol"/>
          <w:sz w:val="24"/>
        </w:rPr>
      </w:pPr>
      <w:r>
        <w:rPr>
          <w:rFonts w:ascii="Segoe UI Symbol" w:hAnsi="Segoe UI Symbol" w:cs="Segoe UI Symbol"/>
          <w:sz w:val="24"/>
        </w:rPr>
      </w:r>
      <w:r/>
    </w:p>
    <w:p>
      <w:pPr>
        <w:pStyle w:val="1038"/>
        <w:ind w:firstLine="480"/>
        <w:jc w:val="left"/>
        <w:spacing w:line="400" w:lineRule="exact"/>
        <w:rPr>
          <w:rFonts w:ascii="Segoe UI Symbol" w:hAnsi="Segoe UI Symbol" w:cs="Segoe UI Symbol"/>
          <w:sz w:val="24"/>
        </w:rPr>
      </w:pPr>
      <w:r>
        <w:rPr>
          <w:rFonts w:ascii="Segoe UI Symbol" w:hAnsi="Segoe UI Symbol" w:cs="Segoe UI Symbol"/>
          <w:sz w:val="24"/>
        </w:rPr>
      </w:r>
      <w:r/>
    </w:p>
    <w:p>
      <w:pPr>
        <w:pStyle w:val="1038"/>
        <w:ind w:firstLine="480"/>
        <w:jc w:val="left"/>
        <w:spacing w:line="400" w:lineRule="exact"/>
        <w:rPr>
          <w:rFonts w:ascii="Segoe UI Symbol" w:hAnsi="Segoe UI Symbol" w:cs="Segoe UI Symbol"/>
          <w:sz w:val="24"/>
        </w:rPr>
      </w:pPr>
      <w:r>
        <w:rPr>
          <w:rFonts w:ascii="Segoe UI Symbol" w:hAnsi="Segoe UI Symbol" w:cs="Segoe UI Symbol"/>
          <w:sz w:val="24"/>
        </w:rPr>
      </w:r>
      <w:r/>
    </w:p>
    <w:p>
      <w:pPr>
        <w:pStyle w:val="1038"/>
        <w:ind w:firstLine="480"/>
        <w:jc w:val="left"/>
        <w:spacing w:line="400" w:lineRule="exact"/>
        <w:rPr>
          <w:rFonts w:ascii="Segoe UI Symbol" w:hAnsi="Segoe UI Symbol" w:cs="Segoe UI Symbol"/>
          <w:sz w:val="24"/>
        </w:rPr>
      </w:pPr>
      <w:r>
        <w:rPr>
          <w:rFonts w:ascii="Segoe UI Symbol" w:hAnsi="Segoe UI Symbol" w:cs="Segoe UI Symbol"/>
          <w:sz w:val="24"/>
        </w:rPr>
      </w:r>
      <w:r/>
    </w:p>
    <w:p>
      <w:pPr>
        <w:pStyle w:val="1038"/>
        <w:ind w:firstLine="480"/>
        <w:jc w:val="left"/>
        <w:spacing w:line="400" w:lineRule="exact"/>
        <w:rPr>
          <w:rFonts w:hint="eastAsia" w:ascii="宋体" w:hAnsi="宋体" w:cs="宋体"/>
          <w:b/>
          <w:bCs/>
          <w:sz w:val="24"/>
        </w:rPr>
      </w:pPr>
      <w:r>
        <w:rPr>
          <w:rFonts w:ascii="Segoe UI Symbol" w:hAnsi="Segoe UI Symbol" w:cs="Segoe UI Symbol"/>
          <w:sz w:val="24"/>
        </w:rPr>
        <w:t xml:space="preserve">★</w:t>
      </w:r>
      <w:r>
        <w:rPr>
          <w:rFonts w:hint="eastAsia" w:ascii="Segoe UI Symbol" w:hAnsi="Segoe UI Symbol" w:cs="Segoe UI Symbol"/>
          <w:b/>
          <w:bCs/>
          <w:sz w:val="24"/>
        </w:rPr>
        <w:t xml:space="preserve">八</w:t>
      </w:r>
      <w:r>
        <w:rPr>
          <w:rFonts w:hint="eastAsia" w:ascii="Segoe UI Symbol" w:hAnsi="Segoe UI Symbol" w:cs="Segoe UI Symbol"/>
          <w:b/>
          <w:bCs/>
          <w:sz w:val="24"/>
        </w:rPr>
        <w:t xml:space="preserve">、</w:t>
      </w:r>
      <w:r>
        <w:rPr>
          <w:rFonts w:hint="eastAsia" w:ascii="宋体" w:hAnsi="宋体" w:cs="宋体"/>
          <w:b/>
          <w:bCs/>
          <w:sz w:val="24"/>
        </w:rPr>
        <w:t xml:space="preserve">下表中</w:t>
      </w:r>
      <w:bookmarkStart w:id="464" w:name="OLE_LINK3"/>
      <w:r>
        <w:rPr>
          <w:rFonts w:hint="eastAsia" w:ascii="宋体" w:hAnsi="宋体" w:cs="宋体"/>
          <w:b/>
          <w:bCs/>
          <w:sz w:val="24"/>
        </w:rPr>
        <w:t xml:space="preserve">采购产品属于政府采购强制节能产品，根据《关于调整优化节能产品、环境标志产品政府采购执行机制的通知》（财库[2019]9号）等相关文件规定，供应商所报产品必须获得国家确定的认证机构出具的处于有效期之内的节能产品认证证书。</w:t>
      </w:r>
      <w:bookmarkEnd w:id="464"/>
      <w:r>
        <w:rPr>
          <w:rFonts w:hint="eastAsia" w:ascii="宋体" w:hAnsi="宋体" w:cs="宋体"/>
          <w:b/>
          <w:bCs/>
          <w:sz w:val="24"/>
        </w:rPr>
        <w:t xml:space="preserve">并将节能产品认证证书通过系统</w:t>
      </w:r>
      <w:r>
        <w:rPr>
          <w:rFonts w:hint="eastAsia" w:ascii="Times New Roman" w:hAnsi="Times New Roman"/>
          <w:b/>
          <w:sz w:val="24"/>
          <w:szCs w:val="24"/>
          <w:u w:val="single"/>
        </w:rPr>
        <w:t xml:space="preserve">分别上传至各包</w:t>
      </w:r>
      <w:r>
        <w:rPr>
          <w:rFonts w:hint="eastAsia" w:ascii="宋体" w:hAnsi="宋体" w:cs="宋体"/>
          <w:b/>
          <w:bCs/>
          <w:sz w:val="24"/>
        </w:rPr>
        <w:t xml:space="preserve">投标文件中</w:t>
      </w:r>
      <w:r>
        <w:rPr>
          <w:rFonts w:hint="eastAsia" w:ascii="宋体" w:hAnsi="宋体" w:cs="宋体"/>
          <w:b/>
          <w:bCs/>
          <w:sz w:val="24"/>
        </w:rPr>
        <w:t xml:space="preserve">“符合条件”--“投标（响应）文件有效性”，</w:t>
      </w:r>
      <w:bookmarkStart w:id="465" w:name="OLE_LINK13"/>
      <w:r>
        <w:rPr>
          <w:rFonts w:hint="eastAsia" w:ascii="宋体" w:hAnsi="宋体" w:cs="宋体"/>
          <w:b/>
          <w:bCs/>
          <w:sz w:val="24"/>
        </w:rPr>
        <w:t xml:space="preserve">不提供或不符合要求按符合性审查不通过处理。</w:t>
      </w:r>
      <w:bookmarkStart w:id="466" w:name="OLE_LINK15"/>
      <w:r/>
      <w:bookmarkEnd w:id="465"/>
      <w:r/>
    </w:p>
    <w:tbl>
      <w:tblPr>
        <w:tblStyle w:val="967"/>
        <w:tblW w:w="8784" w:type="dxa"/>
        <w:jc w:val="center"/>
        <w:tblLook w:val="04A0" w:firstRow="1" w:lastRow="0" w:firstColumn="1" w:lastColumn="0" w:noHBand="0" w:noVBand="1"/>
      </w:tblPr>
      <w:tblGrid>
        <w:gridCol w:w="3510"/>
        <w:gridCol w:w="2315"/>
        <w:gridCol w:w="2959"/>
      </w:tblGrid>
      <w:tr>
        <w:trPr>
          <w:jc w:val="center"/>
          <w:trHeight w:val="390"/>
        </w:trPr>
        <w:tc>
          <w:tcPr>
            <w:gridSpan w:val="3"/>
            <w:tcW w:w="8784" w:type="dxa"/>
            <w:textDirection w:val="lrTb"/>
            <w:noWrap w:val="false"/>
          </w:tcPr>
          <w:p>
            <w:pPr>
              <w:pStyle w:val="1038"/>
              <w:ind w:firstLine="482"/>
              <w:jc w:val="center"/>
              <w:spacing w:line="400" w:lineRule="exact"/>
              <w:rPr>
                <w:rFonts w:hint="eastAsia" w:ascii="宋体" w:hAnsi="宋体" w:cs="宋体"/>
                <w:sz w:val="24"/>
                <w:szCs w:val="24"/>
              </w:rPr>
            </w:pPr>
            <w:r>
              <w:rPr>
                <w:rFonts w:hint="eastAsia" w:ascii="宋体" w:hAnsi="宋体" w:cs="宋体"/>
                <w:b/>
                <w:bCs/>
                <w:sz w:val="24"/>
              </w:rPr>
              <w:t xml:space="preserve">一包：9号楼厨房设备采购及安装项目</w:t>
            </w:r>
            <w:r/>
          </w:p>
        </w:tc>
      </w:tr>
      <w:tr>
        <w:trPr>
          <w:jc w:val="center"/>
          <w:trHeight w:val="390"/>
        </w:trPr>
        <w:tc>
          <w:tcPr>
            <w:tcW w:w="3510" w:type="dxa"/>
            <w:textDirection w:val="lrTb"/>
            <w:noWrap w:val="false"/>
          </w:tcPr>
          <w:p>
            <w:pPr>
              <w:pStyle w:val="1038"/>
              <w:ind w:firstLine="480"/>
              <w:jc w:val="center"/>
              <w:spacing w:line="400" w:lineRule="exact"/>
              <w:rPr>
                <w:rFonts w:hint="eastAsia" w:ascii="宋体" w:hAnsi="宋体" w:cs="宋体"/>
                <w:sz w:val="24"/>
                <w:szCs w:val="24"/>
              </w:rPr>
            </w:pPr>
            <w:r>
              <w:rPr>
                <w:rFonts w:hint="eastAsia" w:ascii="宋体" w:hAnsi="宋体" w:cs="宋体"/>
                <w:sz w:val="24"/>
                <w:szCs w:val="24"/>
              </w:rPr>
              <w:t xml:space="preserve">产品名称</w:t>
            </w:r>
            <w:r/>
          </w:p>
        </w:tc>
        <w:tc>
          <w:tcPr>
            <w:tcW w:w="2315" w:type="dxa"/>
            <w:textDirection w:val="lrTb"/>
            <w:noWrap w:val="false"/>
          </w:tcPr>
          <w:p>
            <w:pPr>
              <w:pStyle w:val="1038"/>
              <w:ind w:firstLine="0"/>
              <w:jc w:val="center"/>
              <w:spacing w:line="400" w:lineRule="exact"/>
              <w:rPr>
                <w:rFonts w:hint="eastAsia" w:ascii="宋体" w:hAnsi="宋体" w:cs="宋体"/>
                <w:sz w:val="24"/>
                <w:szCs w:val="24"/>
              </w:rPr>
            </w:pPr>
            <w:r>
              <w:rPr>
                <w:rFonts w:hint="eastAsia" w:ascii="宋体" w:hAnsi="宋体" w:cs="宋体"/>
                <w:sz w:val="24"/>
                <w:szCs w:val="24"/>
              </w:rPr>
              <w:t xml:space="preserve">产品所在</w:t>
            </w:r>
            <w:r/>
          </w:p>
          <w:p>
            <w:pPr>
              <w:pStyle w:val="1038"/>
              <w:ind w:firstLine="0"/>
              <w:jc w:val="center"/>
              <w:spacing w:line="400" w:lineRule="exact"/>
              <w:rPr>
                <w:rFonts w:hint="eastAsia" w:ascii="宋体" w:hAnsi="宋体" w:cs="宋体"/>
                <w:sz w:val="24"/>
                <w:szCs w:val="24"/>
              </w:rPr>
            </w:pPr>
            <w:r>
              <w:rPr>
                <w:rFonts w:hint="eastAsia" w:ascii="宋体" w:hAnsi="宋体" w:cs="宋体"/>
                <w:sz w:val="24"/>
                <w:szCs w:val="24"/>
              </w:rPr>
              <w:t xml:space="preserve">采购清单序号</w:t>
            </w:r>
            <w:r/>
          </w:p>
        </w:tc>
        <w:tc>
          <w:tcPr>
            <w:tcW w:w="2959" w:type="dxa"/>
            <w:textDirection w:val="lrTb"/>
            <w:noWrap w:val="false"/>
          </w:tcPr>
          <w:p>
            <w:pPr>
              <w:pStyle w:val="1038"/>
              <w:ind w:firstLine="480"/>
              <w:jc w:val="center"/>
              <w:spacing w:line="400" w:lineRule="exact"/>
              <w:rPr>
                <w:rFonts w:hint="eastAsia" w:ascii="宋体" w:hAnsi="宋体" w:cs="宋体"/>
                <w:sz w:val="24"/>
                <w:szCs w:val="24"/>
              </w:rPr>
            </w:pPr>
            <w:r>
              <w:rPr>
                <w:rFonts w:hint="eastAsia" w:ascii="宋体" w:hAnsi="宋体" w:cs="宋体"/>
                <w:sz w:val="24"/>
                <w:szCs w:val="24"/>
              </w:rPr>
              <w:t xml:space="preserve">备注</w:t>
            </w:r>
            <w:r/>
          </w:p>
        </w:tc>
      </w:tr>
      <w:tr>
        <w:trPr>
          <w:jc w:val="center"/>
          <w:trHeight w:val="583"/>
        </w:trPr>
        <w:tc>
          <w:tcPr>
            <w:tcW w:w="3510" w:type="dxa"/>
            <w:textDirection w:val="lrTb"/>
            <w:noWrap w:val="false"/>
          </w:tcPr>
          <w:p>
            <w:pPr>
              <w:pStyle w:val="1038"/>
              <w:ind w:firstLine="480"/>
              <w:jc w:val="center"/>
              <w:spacing w:line="400" w:lineRule="exact"/>
              <w:rPr>
                <w:rFonts w:hint="eastAsia" w:ascii="宋体" w:hAnsi="宋体" w:cs="宋体"/>
                <w:sz w:val="24"/>
                <w:szCs w:val="24"/>
              </w:rPr>
            </w:pPr>
            <w:r/>
            <w:bookmarkStart w:id="467" w:name="_Hlk216766841"/>
            <w:r>
              <w:rPr>
                <w:rFonts w:hint="eastAsia" w:ascii="宋体" w:hAnsi="宋体" w:cs="宋体"/>
                <w:sz w:val="24"/>
                <w:szCs w:val="24"/>
              </w:rPr>
              <w:t xml:space="preserve">双温混水龙头</w:t>
            </w:r>
            <w:bookmarkEnd w:id="467"/>
            <w:r/>
            <w:r/>
          </w:p>
        </w:tc>
        <w:tc>
          <w:tcPr>
            <w:tcW w:w="2315" w:type="dxa"/>
            <w:textDirection w:val="lrTb"/>
            <w:noWrap w:val="false"/>
          </w:tcPr>
          <w:p>
            <w:pPr>
              <w:pStyle w:val="1038"/>
              <w:ind w:firstLine="0"/>
              <w:jc w:val="center"/>
              <w:spacing w:line="400" w:lineRule="exact"/>
              <w:rPr>
                <w:rFonts w:hint="eastAsia" w:ascii="宋体" w:hAnsi="宋体" w:cs="宋体"/>
                <w:sz w:val="24"/>
                <w:szCs w:val="24"/>
              </w:rPr>
            </w:pPr>
            <w:r>
              <w:rPr>
                <w:rFonts w:hint="eastAsia" w:ascii="宋体" w:hAnsi="宋体" w:cs="宋体"/>
                <w:sz w:val="24"/>
                <w:szCs w:val="24"/>
              </w:rPr>
              <w:t xml:space="preserve">68</w:t>
            </w:r>
            <w:r/>
          </w:p>
        </w:tc>
        <w:tc>
          <w:tcPr>
            <w:tcW w:w="2959" w:type="dxa"/>
            <w:textDirection w:val="lrTb"/>
            <w:noWrap w:val="false"/>
          </w:tcPr>
          <w:p>
            <w:pPr>
              <w:pStyle w:val="1038"/>
              <w:ind w:firstLine="480"/>
              <w:jc w:val="left"/>
              <w:spacing w:line="400" w:lineRule="exact"/>
              <w:rPr>
                <w:rFonts w:hint="eastAsia" w:ascii="宋体" w:hAnsi="宋体" w:cs="宋体"/>
                <w:sz w:val="24"/>
                <w:szCs w:val="24"/>
              </w:rPr>
            </w:pPr>
            <w:r>
              <w:rPr>
                <w:rFonts w:hint="eastAsia" w:ascii="宋体" w:hAnsi="宋体" w:cs="宋体"/>
                <w:sz w:val="24"/>
                <w:szCs w:val="24"/>
              </w:rPr>
            </w:r>
            <w:r/>
          </w:p>
        </w:tc>
      </w:tr>
      <w:tr>
        <w:trPr>
          <w:jc w:val="center"/>
          <w:trHeight w:val="583"/>
        </w:trPr>
        <w:tc>
          <w:tcPr>
            <w:tcW w:w="3510" w:type="dxa"/>
            <w:textDirection w:val="lrTb"/>
            <w:noWrap w:val="false"/>
          </w:tcPr>
          <w:p>
            <w:pPr>
              <w:pStyle w:val="1038"/>
              <w:ind w:firstLine="480"/>
              <w:jc w:val="center"/>
              <w:spacing w:line="400" w:lineRule="exact"/>
              <w:rPr>
                <w:rFonts w:hint="eastAsia" w:ascii="宋体" w:hAnsi="宋体" w:cs="宋体"/>
                <w:sz w:val="24"/>
                <w:szCs w:val="24"/>
              </w:rPr>
            </w:pPr>
            <w:r/>
            <w:bookmarkStart w:id="468" w:name="OLE_LINK41"/>
            <w:r>
              <w:rPr>
                <w:rFonts w:hint="eastAsia" w:ascii="宋体" w:hAnsi="宋体" w:cs="宋体"/>
                <w:sz w:val="24"/>
                <w:szCs w:val="24"/>
              </w:rPr>
              <w:t xml:space="preserve">摇摆水龙头1</w:t>
            </w:r>
            <w:bookmarkEnd w:id="468"/>
            <w:r/>
            <w:r/>
          </w:p>
        </w:tc>
        <w:tc>
          <w:tcPr>
            <w:tcW w:w="2315" w:type="dxa"/>
            <w:textDirection w:val="lrTb"/>
            <w:noWrap w:val="false"/>
          </w:tcPr>
          <w:p>
            <w:pPr>
              <w:pStyle w:val="1038"/>
              <w:ind w:firstLine="0"/>
              <w:jc w:val="center"/>
              <w:spacing w:line="400" w:lineRule="exact"/>
              <w:rPr>
                <w:rFonts w:hint="eastAsia" w:ascii="宋体" w:hAnsi="宋体" w:cs="宋体"/>
                <w:sz w:val="24"/>
                <w:szCs w:val="24"/>
              </w:rPr>
            </w:pPr>
            <w:r>
              <w:rPr>
                <w:rFonts w:hint="eastAsia" w:ascii="宋体" w:hAnsi="宋体" w:cs="宋体"/>
                <w:sz w:val="24"/>
                <w:szCs w:val="24"/>
              </w:rPr>
              <w:t xml:space="preserve">70</w:t>
            </w:r>
            <w:r/>
          </w:p>
        </w:tc>
        <w:tc>
          <w:tcPr>
            <w:tcW w:w="2959" w:type="dxa"/>
            <w:vAlign w:val="center"/>
            <w:textDirection w:val="lrTb"/>
            <w:noWrap w:val="false"/>
          </w:tcPr>
          <w:p>
            <w:pPr>
              <w:pStyle w:val="1038"/>
              <w:ind w:firstLine="0"/>
              <w:jc w:val="center"/>
              <w:spacing w:line="400" w:lineRule="exact"/>
              <w:rPr>
                <w:rFonts w:hint="eastAsia" w:ascii="宋体" w:hAnsi="宋体" w:cs="宋体"/>
                <w:sz w:val="24"/>
                <w:szCs w:val="24"/>
              </w:rPr>
            </w:pPr>
            <w:r>
              <w:rPr>
                <w:rFonts w:hint="eastAsia" w:ascii="宋体" w:hAnsi="宋体" w:cs="宋体"/>
                <w:sz w:val="24"/>
                <w:szCs w:val="24"/>
              </w:rPr>
              <w:t xml:space="preserve">用于单头单尾炒灶</w:t>
            </w:r>
            <w:r/>
          </w:p>
        </w:tc>
      </w:tr>
      <w:tr>
        <w:trPr>
          <w:jc w:val="center"/>
          <w:trHeight w:val="583"/>
        </w:trPr>
        <w:tc>
          <w:tcPr>
            <w:tcW w:w="3510" w:type="dxa"/>
            <w:textDirection w:val="lrTb"/>
            <w:noWrap w:val="false"/>
          </w:tcPr>
          <w:p>
            <w:pPr>
              <w:pStyle w:val="1038"/>
              <w:ind w:firstLine="480"/>
              <w:jc w:val="center"/>
              <w:spacing w:line="400" w:lineRule="exact"/>
              <w:rPr>
                <w:rFonts w:hint="eastAsia" w:ascii="宋体" w:hAnsi="宋体" w:cs="宋体"/>
                <w:sz w:val="24"/>
                <w:szCs w:val="24"/>
              </w:rPr>
            </w:pPr>
            <w:r>
              <w:rPr>
                <w:rFonts w:hint="eastAsia" w:ascii="宋体" w:hAnsi="宋体" w:cs="宋体"/>
                <w:sz w:val="24"/>
                <w:szCs w:val="24"/>
              </w:rPr>
              <w:t xml:space="preserve">摇摆水龙头2</w:t>
            </w:r>
            <w:r/>
          </w:p>
        </w:tc>
        <w:tc>
          <w:tcPr>
            <w:tcW w:w="2315" w:type="dxa"/>
            <w:textDirection w:val="lrTb"/>
            <w:noWrap w:val="false"/>
          </w:tcPr>
          <w:p>
            <w:pPr>
              <w:pStyle w:val="1038"/>
              <w:ind w:firstLine="0"/>
              <w:jc w:val="center"/>
              <w:spacing w:line="400" w:lineRule="exact"/>
              <w:rPr>
                <w:rFonts w:hint="eastAsia" w:ascii="宋体" w:hAnsi="宋体" w:cs="宋体"/>
                <w:sz w:val="24"/>
                <w:szCs w:val="24"/>
              </w:rPr>
            </w:pPr>
            <w:r>
              <w:rPr>
                <w:rFonts w:hint="eastAsia" w:ascii="宋体" w:hAnsi="宋体" w:cs="宋体"/>
                <w:sz w:val="24"/>
                <w:szCs w:val="24"/>
              </w:rPr>
              <w:t xml:space="preserve">71</w:t>
            </w:r>
            <w:r/>
          </w:p>
        </w:tc>
        <w:tc>
          <w:tcPr>
            <w:tcW w:w="2959" w:type="dxa"/>
            <w:vAlign w:val="center"/>
            <w:textDirection w:val="lrTb"/>
            <w:noWrap w:val="false"/>
          </w:tcPr>
          <w:p>
            <w:pPr>
              <w:pStyle w:val="1038"/>
              <w:ind w:firstLine="0"/>
              <w:jc w:val="center"/>
              <w:spacing w:line="400" w:lineRule="exact"/>
              <w:rPr>
                <w:rFonts w:hint="eastAsia" w:ascii="宋体" w:hAnsi="宋体" w:cs="宋体"/>
                <w:sz w:val="24"/>
                <w:szCs w:val="24"/>
              </w:rPr>
            </w:pPr>
            <w:r>
              <w:rPr>
                <w:rFonts w:hint="eastAsia" w:ascii="宋体" w:hAnsi="宋体" w:cs="宋体"/>
                <w:sz w:val="24"/>
                <w:szCs w:val="24"/>
              </w:rPr>
              <w:t xml:space="preserve">用于双头大锅灶</w:t>
            </w:r>
            <w:r/>
          </w:p>
        </w:tc>
      </w:tr>
      <w:tr>
        <w:trPr>
          <w:jc w:val="center"/>
          <w:trHeight w:val="583"/>
        </w:trPr>
        <w:tc>
          <w:tcPr>
            <w:tcW w:w="3510" w:type="dxa"/>
            <w:textDirection w:val="lrTb"/>
            <w:noWrap w:val="false"/>
          </w:tcPr>
          <w:p>
            <w:pPr>
              <w:pStyle w:val="1038"/>
              <w:ind w:firstLine="480"/>
              <w:jc w:val="center"/>
              <w:spacing w:line="400" w:lineRule="exact"/>
              <w:rPr>
                <w:rFonts w:hint="eastAsia" w:ascii="宋体" w:hAnsi="宋体" w:cs="宋体"/>
                <w:sz w:val="24"/>
                <w:szCs w:val="24"/>
              </w:rPr>
            </w:pPr>
            <w:r>
              <w:rPr>
                <w:rFonts w:hint="eastAsia" w:ascii="宋体" w:hAnsi="宋体" w:cs="宋体"/>
                <w:sz w:val="24"/>
                <w:szCs w:val="24"/>
              </w:rPr>
              <w:t xml:space="preserve">摇摆水龙头3</w:t>
            </w:r>
            <w:r/>
          </w:p>
        </w:tc>
        <w:tc>
          <w:tcPr>
            <w:tcW w:w="2315" w:type="dxa"/>
            <w:textDirection w:val="lrTb"/>
            <w:noWrap w:val="false"/>
          </w:tcPr>
          <w:p>
            <w:pPr>
              <w:pStyle w:val="1038"/>
              <w:ind w:firstLine="0"/>
              <w:jc w:val="center"/>
              <w:spacing w:line="400" w:lineRule="exact"/>
              <w:rPr>
                <w:rFonts w:hint="eastAsia" w:ascii="宋体" w:hAnsi="宋体" w:cs="宋体"/>
                <w:sz w:val="24"/>
                <w:szCs w:val="24"/>
              </w:rPr>
            </w:pPr>
            <w:r>
              <w:rPr>
                <w:rFonts w:hint="eastAsia" w:ascii="宋体" w:hAnsi="宋体" w:cs="宋体"/>
                <w:sz w:val="24"/>
                <w:szCs w:val="24"/>
              </w:rPr>
              <w:t xml:space="preserve">72</w:t>
            </w:r>
            <w:r/>
          </w:p>
        </w:tc>
        <w:tc>
          <w:tcPr>
            <w:tcW w:w="2959" w:type="dxa"/>
            <w:vAlign w:val="center"/>
            <w:textDirection w:val="lrTb"/>
            <w:noWrap w:val="false"/>
          </w:tcPr>
          <w:p>
            <w:pPr>
              <w:pStyle w:val="1038"/>
              <w:ind w:firstLine="0"/>
              <w:jc w:val="center"/>
              <w:spacing w:line="400" w:lineRule="exact"/>
              <w:rPr>
                <w:rFonts w:hint="eastAsia" w:ascii="宋体" w:hAnsi="宋体" w:cs="宋体"/>
                <w:sz w:val="24"/>
                <w:szCs w:val="24"/>
              </w:rPr>
            </w:pPr>
            <w:r>
              <w:rPr>
                <w:rFonts w:hint="eastAsia" w:ascii="宋体" w:hAnsi="宋体" w:cs="宋体"/>
                <w:sz w:val="24"/>
                <w:szCs w:val="24"/>
              </w:rPr>
              <w:t xml:space="preserve">用于双头单尾炒灶</w:t>
            </w:r>
            <w:r/>
          </w:p>
        </w:tc>
      </w:tr>
      <w:tr>
        <w:trPr>
          <w:jc w:val="center"/>
          <w:trHeight w:val="583"/>
        </w:trPr>
        <w:tc>
          <w:tcPr>
            <w:tcW w:w="3510" w:type="dxa"/>
            <w:textDirection w:val="lrTb"/>
            <w:noWrap w:val="false"/>
          </w:tcPr>
          <w:p>
            <w:pPr>
              <w:pStyle w:val="1038"/>
              <w:ind w:firstLine="480"/>
              <w:jc w:val="center"/>
              <w:spacing w:line="400" w:lineRule="exact"/>
              <w:rPr>
                <w:rFonts w:hint="eastAsia" w:ascii="宋体" w:hAnsi="宋体" w:cs="宋体"/>
                <w:sz w:val="24"/>
                <w:szCs w:val="24"/>
              </w:rPr>
            </w:pPr>
            <w:r>
              <w:rPr>
                <w:rFonts w:hint="eastAsia" w:ascii="宋体" w:hAnsi="宋体" w:cs="宋体"/>
                <w:sz w:val="24"/>
                <w:szCs w:val="24"/>
              </w:rPr>
              <w:t xml:space="preserve">摇摆水龙头4</w:t>
            </w:r>
            <w:r/>
          </w:p>
        </w:tc>
        <w:tc>
          <w:tcPr>
            <w:tcW w:w="2315" w:type="dxa"/>
            <w:textDirection w:val="lrTb"/>
            <w:noWrap w:val="false"/>
          </w:tcPr>
          <w:p>
            <w:pPr>
              <w:pStyle w:val="1038"/>
              <w:ind w:firstLine="0"/>
              <w:jc w:val="center"/>
              <w:spacing w:line="400" w:lineRule="exact"/>
              <w:rPr>
                <w:rFonts w:hint="eastAsia" w:ascii="宋体" w:hAnsi="宋体" w:cs="宋体"/>
                <w:sz w:val="24"/>
                <w:szCs w:val="24"/>
              </w:rPr>
            </w:pPr>
            <w:r>
              <w:rPr>
                <w:rFonts w:hint="eastAsia" w:ascii="宋体" w:hAnsi="宋体" w:cs="宋体"/>
                <w:sz w:val="24"/>
                <w:szCs w:val="24"/>
              </w:rPr>
              <w:t xml:space="preserve">73</w:t>
            </w:r>
            <w:r/>
          </w:p>
        </w:tc>
        <w:tc>
          <w:tcPr>
            <w:tcW w:w="2959" w:type="dxa"/>
            <w:vAlign w:val="center"/>
            <w:textDirection w:val="lrTb"/>
            <w:noWrap w:val="false"/>
          </w:tcPr>
          <w:p>
            <w:pPr>
              <w:pStyle w:val="1038"/>
              <w:ind w:firstLine="0"/>
              <w:jc w:val="center"/>
              <w:spacing w:line="400" w:lineRule="exact"/>
              <w:rPr>
                <w:rFonts w:hint="eastAsia" w:ascii="宋体" w:hAnsi="宋体" w:cs="宋体"/>
                <w:sz w:val="24"/>
                <w:szCs w:val="24"/>
              </w:rPr>
            </w:pPr>
            <w:r>
              <w:rPr>
                <w:rFonts w:hint="eastAsia" w:ascii="宋体" w:hAnsi="宋体" w:cs="宋体"/>
                <w:sz w:val="24"/>
                <w:szCs w:val="24"/>
              </w:rPr>
              <w:t xml:space="preserve">用于双头双尾炒灶</w:t>
            </w:r>
            <w:r/>
          </w:p>
        </w:tc>
      </w:tr>
      <w:tr>
        <w:trPr>
          <w:jc w:val="center"/>
          <w:trHeight w:val="583"/>
        </w:trPr>
        <w:tc>
          <w:tcPr>
            <w:tcW w:w="3510" w:type="dxa"/>
            <w:textDirection w:val="lrTb"/>
            <w:noWrap w:val="false"/>
          </w:tcPr>
          <w:p>
            <w:pPr>
              <w:pStyle w:val="1038"/>
              <w:ind w:firstLine="480"/>
              <w:jc w:val="center"/>
              <w:spacing w:line="400" w:lineRule="exact"/>
              <w:rPr>
                <w:rFonts w:hint="eastAsia" w:ascii="宋体" w:hAnsi="宋体" w:cs="宋体"/>
                <w:sz w:val="24"/>
                <w:szCs w:val="24"/>
              </w:rPr>
            </w:pPr>
            <w:r>
              <w:rPr>
                <w:rFonts w:hint="eastAsia" w:ascii="宋体" w:hAnsi="宋体" w:cs="宋体"/>
                <w:sz w:val="24"/>
                <w:szCs w:val="24"/>
              </w:rPr>
              <w:t xml:space="preserve">摇摆水龙头5</w:t>
            </w:r>
            <w:r/>
          </w:p>
        </w:tc>
        <w:tc>
          <w:tcPr>
            <w:tcW w:w="2315" w:type="dxa"/>
            <w:textDirection w:val="lrTb"/>
            <w:noWrap w:val="false"/>
          </w:tcPr>
          <w:p>
            <w:pPr>
              <w:pStyle w:val="1038"/>
              <w:ind w:firstLine="0"/>
              <w:jc w:val="center"/>
              <w:spacing w:line="400" w:lineRule="exact"/>
              <w:rPr>
                <w:rFonts w:hint="eastAsia" w:ascii="宋体" w:hAnsi="宋体" w:cs="宋体"/>
                <w:sz w:val="24"/>
                <w:szCs w:val="24"/>
              </w:rPr>
            </w:pPr>
            <w:r>
              <w:rPr>
                <w:rFonts w:hint="eastAsia" w:ascii="宋体" w:hAnsi="宋体" w:cs="宋体"/>
                <w:sz w:val="24"/>
                <w:szCs w:val="24"/>
              </w:rPr>
              <w:t xml:space="preserve">74</w:t>
            </w:r>
            <w:r/>
          </w:p>
        </w:tc>
        <w:tc>
          <w:tcPr>
            <w:tcW w:w="2959" w:type="dxa"/>
            <w:vAlign w:val="center"/>
            <w:textDirection w:val="lrTb"/>
            <w:noWrap w:val="false"/>
          </w:tcPr>
          <w:p>
            <w:pPr>
              <w:pStyle w:val="1038"/>
              <w:ind w:firstLine="0"/>
              <w:jc w:val="center"/>
              <w:spacing w:line="400" w:lineRule="exact"/>
              <w:rPr>
                <w:rFonts w:hint="eastAsia" w:ascii="宋体" w:hAnsi="宋体" w:cs="宋体"/>
                <w:sz w:val="24"/>
                <w:szCs w:val="24"/>
              </w:rPr>
            </w:pPr>
            <w:r>
              <w:rPr>
                <w:rFonts w:hint="eastAsia" w:ascii="宋体" w:hAnsi="宋体" w:cs="宋体"/>
                <w:sz w:val="24"/>
                <w:szCs w:val="24"/>
              </w:rPr>
              <w:t xml:space="preserve">用于小炒连大锅灶</w:t>
            </w:r>
            <w:r/>
          </w:p>
        </w:tc>
      </w:tr>
    </w:tbl>
    <w:p>
      <w:pPr>
        <w:pStyle w:val="1038"/>
        <w:ind w:firstLine="482"/>
        <w:jc w:val="left"/>
        <w:spacing w:line="400" w:lineRule="exact"/>
        <w:rPr>
          <w:rFonts w:hint="eastAsia" w:ascii="宋体" w:hAnsi="宋体" w:cs="宋体"/>
          <w:b/>
          <w:bCs/>
          <w:sz w:val="24"/>
        </w:rPr>
      </w:pPr>
      <w:r/>
      <w:bookmarkStart w:id="469" w:name="OLE_LINK20"/>
      <w:r/>
      <w:bookmarkEnd w:id="466"/>
      <w:r/>
      <w:bookmarkEnd w:id="469"/>
      <w:r/>
    </w:p>
    <w:tbl>
      <w:tblPr>
        <w:tblStyle w:val="967"/>
        <w:tblW w:w="8788" w:type="dxa"/>
        <w:jc w:val="center"/>
        <w:tblLook w:val="04A0" w:firstRow="1" w:lastRow="0" w:firstColumn="1" w:lastColumn="0" w:noHBand="0" w:noVBand="1"/>
      </w:tblPr>
      <w:tblGrid>
        <w:gridCol w:w="3539"/>
        <w:gridCol w:w="2268"/>
        <w:gridCol w:w="2981"/>
      </w:tblGrid>
      <w:tr>
        <w:trPr>
          <w:jc w:val="center"/>
          <w:trHeight w:val="390"/>
        </w:trPr>
        <w:tc>
          <w:tcPr>
            <w:gridSpan w:val="3"/>
            <w:tcW w:w="8788" w:type="dxa"/>
            <w:textDirection w:val="lrTb"/>
            <w:noWrap w:val="false"/>
          </w:tcPr>
          <w:p>
            <w:pPr>
              <w:pStyle w:val="1038"/>
              <w:ind w:firstLine="482"/>
              <w:jc w:val="center"/>
              <w:spacing w:line="400" w:lineRule="exact"/>
              <w:rPr>
                <w:rFonts w:hint="eastAsia" w:ascii="宋体" w:hAnsi="宋体" w:cs="宋体"/>
                <w:sz w:val="24"/>
                <w:szCs w:val="24"/>
              </w:rPr>
            </w:pPr>
            <w:r>
              <w:rPr>
                <w:rFonts w:hint="eastAsia" w:ascii="宋体" w:hAnsi="宋体" w:cs="宋体"/>
                <w:b/>
                <w:bCs/>
                <w:sz w:val="24"/>
              </w:rPr>
              <w:t xml:space="preserve">二包：33号楼厨房设备采购及安装项目</w:t>
            </w:r>
            <w:r/>
          </w:p>
        </w:tc>
      </w:tr>
      <w:tr>
        <w:trPr>
          <w:jc w:val="center"/>
          <w:trHeight w:val="390"/>
        </w:trPr>
        <w:tc>
          <w:tcPr>
            <w:tcW w:w="3539" w:type="dxa"/>
            <w:textDirection w:val="lrTb"/>
            <w:noWrap w:val="false"/>
          </w:tcPr>
          <w:p>
            <w:pPr>
              <w:pStyle w:val="1038"/>
              <w:ind w:firstLine="480"/>
              <w:jc w:val="center"/>
              <w:spacing w:line="400" w:lineRule="exact"/>
              <w:rPr>
                <w:rFonts w:hint="eastAsia" w:ascii="宋体" w:hAnsi="宋体" w:cs="宋体"/>
                <w:sz w:val="24"/>
                <w:szCs w:val="24"/>
              </w:rPr>
            </w:pPr>
            <w:r>
              <w:rPr>
                <w:rFonts w:hint="eastAsia" w:ascii="宋体" w:hAnsi="宋体" w:cs="宋体"/>
                <w:sz w:val="24"/>
                <w:szCs w:val="24"/>
              </w:rPr>
              <w:t xml:space="preserve">产品名称</w:t>
            </w:r>
            <w:r/>
          </w:p>
        </w:tc>
        <w:tc>
          <w:tcPr>
            <w:tcW w:w="2268" w:type="dxa"/>
            <w:textDirection w:val="lrTb"/>
            <w:noWrap w:val="false"/>
          </w:tcPr>
          <w:p>
            <w:pPr>
              <w:pStyle w:val="1038"/>
              <w:ind w:firstLine="0"/>
              <w:jc w:val="center"/>
              <w:spacing w:line="400" w:lineRule="exact"/>
              <w:rPr>
                <w:rFonts w:hint="eastAsia" w:ascii="宋体" w:hAnsi="宋体" w:cs="宋体"/>
                <w:sz w:val="24"/>
                <w:szCs w:val="24"/>
              </w:rPr>
            </w:pPr>
            <w:r>
              <w:rPr>
                <w:rFonts w:hint="eastAsia" w:ascii="宋体" w:hAnsi="宋体" w:cs="宋体"/>
                <w:sz w:val="24"/>
                <w:szCs w:val="24"/>
              </w:rPr>
              <w:t xml:space="preserve">产品所在</w:t>
            </w:r>
            <w:r/>
          </w:p>
          <w:p>
            <w:pPr>
              <w:pStyle w:val="1038"/>
              <w:ind w:firstLine="0"/>
              <w:jc w:val="center"/>
              <w:spacing w:line="400" w:lineRule="exact"/>
              <w:rPr>
                <w:rFonts w:hint="eastAsia" w:ascii="宋体" w:hAnsi="宋体" w:cs="宋体"/>
                <w:sz w:val="24"/>
                <w:szCs w:val="24"/>
              </w:rPr>
            </w:pPr>
            <w:r>
              <w:rPr>
                <w:rFonts w:hint="eastAsia" w:ascii="宋体" w:hAnsi="宋体" w:cs="宋体"/>
                <w:sz w:val="24"/>
                <w:szCs w:val="24"/>
              </w:rPr>
              <w:t xml:space="preserve">采购清单序号</w:t>
            </w:r>
            <w:r/>
          </w:p>
        </w:tc>
        <w:tc>
          <w:tcPr>
            <w:tcW w:w="2981" w:type="dxa"/>
            <w:textDirection w:val="lrTb"/>
            <w:noWrap w:val="false"/>
          </w:tcPr>
          <w:p>
            <w:pPr>
              <w:pStyle w:val="1038"/>
              <w:ind w:firstLine="480"/>
              <w:jc w:val="center"/>
              <w:spacing w:line="400" w:lineRule="exact"/>
              <w:rPr>
                <w:rFonts w:hint="eastAsia" w:ascii="宋体" w:hAnsi="宋体" w:cs="宋体"/>
                <w:sz w:val="24"/>
                <w:szCs w:val="24"/>
              </w:rPr>
            </w:pPr>
            <w:r>
              <w:rPr>
                <w:rFonts w:hint="eastAsia" w:ascii="宋体" w:hAnsi="宋体" w:cs="宋体"/>
                <w:sz w:val="24"/>
                <w:szCs w:val="24"/>
              </w:rPr>
              <w:t xml:space="preserve">备注</w:t>
            </w:r>
            <w:r/>
          </w:p>
        </w:tc>
      </w:tr>
      <w:tr>
        <w:trPr>
          <w:jc w:val="center"/>
          <w:trHeight w:val="583"/>
        </w:trPr>
        <w:tc>
          <w:tcPr>
            <w:tcW w:w="3539" w:type="dxa"/>
            <w:textDirection w:val="lrTb"/>
            <w:noWrap w:val="false"/>
          </w:tcPr>
          <w:p>
            <w:pPr>
              <w:pStyle w:val="1038"/>
              <w:ind w:firstLine="480"/>
              <w:jc w:val="center"/>
              <w:spacing w:line="400" w:lineRule="exact"/>
              <w:rPr>
                <w:rFonts w:hint="eastAsia" w:ascii="宋体" w:hAnsi="宋体" w:cs="宋体"/>
                <w:sz w:val="24"/>
                <w:szCs w:val="24"/>
              </w:rPr>
            </w:pPr>
            <w:r>
              <w:rPr>
                <w:rFonts w:hint="eastAsia" w:ascii="宋体" w:hAnsi="宋体" w:cs="宋体"/>
                <w:sz w:val="24"/>
                <w:szCs w:val="24"/>
              </w:rPr>
              <w:t xml:space="preserve">双温混水龙头</w:t>
            </w:r>
            <w:r/>
          </w:p>
        </w:tc>
        <w:tc>
          <w:tcPr>
            <w:tcW w:w="2268" w:type="dxa"/>
            <w:textDirection w:val="lrTb"/>
            <w:noWrap w:val="false"/>
          </w:tcPr>
          <w:p>
            <w:pPr>
              <w:pStyle w:val="1038"/>
              <w:ind w:firstLine="0"/>
              <w:jc w:val="center"/>
              <w:spacing w:line="400" w:lineRule="exact"/>
              <w:rPr>
                <w:rFonts w:hint="eastAsia" w:ascii="宋体" w:hAnsi="宋体" w:cs="宋体"/>
                <w:sz w:val="24"/>
                <w:szCs w:val="24"/>
              </w:rPr>
            </w:pPr>
            <w:r>
              <w:rPr>
                <w:rFonts w:hint="eastAsia" w:ascii="宋体" w:hAnsi="宋体" w:cs="宋体"/>
                <w:sz w:val="24"/>
                <w:szCs w:val="24"/>
              </w:rPr>
              <w:t xml:space="preserve">70</w:t>
            </w:r>
            <w:r/>
          </w:p>
        </w:tc>
        <w:tc>
          <w:tcPr>
            <w:tcW w:w="2981" w:type="dxa"/>
            <w:textDirection w:val="lrTb"/>
            <w:noWrap w:val="false"/>
          </w:tcPr>
          <w:p>
            <w:pPr>
              <w:pStyle w:val="1038"/>
              <w:ind w:firstLine="480"/>
              <w:jc w:val="left"/>
              <w:spacing w:line="400" w:lineRule="exact"/>
              <w:rPr>
                <w:rFonts w:hint="eastAsia" w:ascii="宋体" w:hAnsi="宋体" w:cs="宋体"/>
                <w:sz w:val="24"/>
                <w:szCs w:val="24"/>
              </w:rPr>
            </w:pPr>
            <w:r>
              <w:rPr>
                <w:rFonts w:hint="eastAsia" w:ascii="宋体" w:hAnsi="宋体" w:cs="宋体"/>
                <w:sz w:val="24"/>
                <w:szCs w:val="24"/>
              </w:rPr>
            </w:r>
            <w:r/>
          </w:p>
        </w:tc>
      </w:tr>
      <w:tr>
        <w:trPr>
          <w:jc w:val="center"/>
          <w:trHeight w:val="583"/>
        </w:trPr>
        <w:tc>
          <w:tcPr>
            <w:tcW w:w="3539" w:type="dxa"/>
            <w:textDirection w:val="lrTb"/>
            <w:noWrap w:val="false"/>
          </w:tcPr>
          <w:p>
            <w:pPr>
              <w:pStyle w:val="1038"/>
              <w:ind w:firstLine="480"/>
              <w:jc w:val="center"/>
              <w:spacing w:line="400" w:lineRule="exact"/>
              <w:rPr>
                <w:rFonts w:hint="eastAsia" w:ascii="宋体" w:hAnsi="宋体" w:cs="宋体"/>
                <w:sz w:val="24"/>
                <w:szCs w:val="24"/>
              </w:rPr>
            </w:pPr>
            <w:r>
              <w:rPr>
                <w:rFonts w:hint="eastAsia" w:ascii="宋体" w:hAnsi="宋体" w:cs="宋体"/>
                <w:sz w:val="24"/>
                <w:szCs w:val="24"/>
              </w:rPr>
              <w:t xml:space="preserve">摇摆水龙头1</w:t>
            </w:r>
            <w:r/>
          </w:p>
        </w:tc>
        <w:tc>
          <w:tcPr>
            <w:tcW w:w="2268" w:type="dxa"/>
            <w:textDirection w:val="lrTb"/>
            <w:noWrap w:val="false"/>
          </w:tcPr>
          <w:p>
            <w:pPr>
              <w:pStyle w:val="1038"/>
              <w:ind w:firstLine="0"/>
              <w:jc w:val="center"/>
              <w:spacing w:line="400" w:lineRule="exact"/>
              <w:rPr>
                <w:rFonts w:hint="eastAsia" w:ascii="宋体" w:hAnsi="宋体" w:cs="宋体"/>
                <w:sz w:val="24"/>
                <w:szCs w:val="24"/>
              </w:rPr>
            </w:pPr>
            <w:r>
              <w:rPr>
                <w:rFonts w:hint="eastAsia" w:ascii="宋体" w:hAnsi="宋体" w:cs="宋体"/>
                <w:sz w:val="24"/>
                <w:szCs w:val="24"/>
              </w:rPr>
              <w:t xml:space="preserve">72</w:t>
            </w:r>
            <w:r/>
          </w:p>
        </w:tc>
        <w:tc>
          <w:tcPr>
            <w:tcW w:w="2981" w:type="dxa"/>
            <w:vAlign w:val="center"/>
            <w:textDirection w:val="lrTb"/>
            <w:noWrap w:val="false"/>
          </w:tcPr>
          <w:p>
            <w:pPr>
              <w:pStyle w:val="1038"/>
              <w:ind w:firstLine="0"/>
              <w:jc w:val="center"/>
              <w:spacing w:line="400" w:lineRule="exact"/>
              <w:rPr>
                <w:rFonts w:hint="eastAsia" w:ascii="宋体" w:hAnsi="宋体" w:cs="宋体"/>
                <w:sz w:val="24"/>
                <w:szCs w:val="24"/>
              </w:rPr>
            </w:pPr>
            <w:r>
              <w:rPr>
                <w:rFonts w:hint="eastAsia" w:ascii="宋体" w:hAnsi="宋体" w:cs="宋体"/>
                <w:sz w:val="24"/>
                <w:szCs w:val="24"/>
              </w:rPr>
              <w:t xml:space="preserve">用于单头单尾炒灶</w:t>
            </w:r>
            <w:r/>
          </w:p>
        </w:tc>
      </w:tr>
      <w:tr>
        <w:trPr>
          <w:jc w:val="center"/>
          <w:trHeight w:val="583"/>
        </w:trPr>
        <w:tc>
          <w:tcPr>
            <w:tcW w:w="3539" w:type="dxa"/>
            <w:textDirection w:val="lrTb"/>
            <w:noWrap w:val="false"/>
          </w:tcPr>
          <w:p>
            <w:pPr>
              <w:pStyle w:val="1038"/>
              <w:ind w:firstLine="480"/>
              <w:jc w:val="center"/>
              <w:spacing w:line="400" w:lineRule="exact"/>
              <w:rPr>
                <w:rFonts w:hint="eastAsia" w:ascii="宋体" w:hAnsi="宋体" w:cs="宋体"/>
                <w:sz w:val="24"/>
                <w:szCs w:val="24"/>
              </w:rPr>
            </w:pPr>
            <w:r>
              <w:rPr>
                <w:rFonts w:hint="eastAsia" w:ascii="宋体" w:hAnsi="宋体" w:cs="宋体"/>
                <w:sz w:val="24"/>
                <w:szCs w:val="24"/>
              </w:rPr>
              <w:t xml:space="preserve">摇摆水龙头2</w:t>
            </w:r>
            <w:r/>
          </w:p>
        </w:tc>
        <w:tc>
          <w:tcPr>
            <w:tcW w:w="2268" w:type="dxa"/>
            <w:textDirection w:val="lrTb"/>
            <w:noWrap w:val="false"/>
          </w:tcPr>
          <w:p>
            <w:pPr>
              <w:pStyle w:val="1038"/>
              <w:ind w:firstLine="0"/>
              <w:jc w:val="center"/>
              <w:spacing w:line="400" w:lineRule="exact"/>
              <w:rPr>
                <w:rFonts w:hint="eastAsia" w:ascii="宋体" w:hAnsi="宋体" w:cs="宋体"/>
                <w:sz w:val="24"/>
                <w:szCs w:val="24"/>
              </w:rPr>
            </w:pPr>
            <w:r>
              <w:rPr>
                <w:rFonts w:hint="eastAsia" w:ascii="宋体" w:hAnsi="宋体" w:cs="宋体"/>
                <w:sz w:val="24"/>
                <w:szCs w:val="24"/>
              </w:rPr>
              <w:t xml:space="preserve">73</w:t>
            </w:r>
            <w:r/>
          </w:p>
        </w:tc>
        <w:tc>
          <w:tcPr>
            <w:tcW w:w="2981" w:type="dxa"/>
            <w:vAlign w:val="center"/>
            <w:textDirection w:val="lrTb"/>
            <w:noWrap w:val="false"/>
          </w:tcPr>
          <w:p>
            <w:pPr>
              <w:pStyle w:val="1038"/>
              <w:ind w:firstLine="0"/>
              <w:jc w:val="center"/>
              <w:spacing w:line="400" w:lineRule="exact"/>
              <w:rPr>
                <w:rFonts w:hint="eastAsia" w:ascii="宋体" w:hAnsi="宋体" w:cs="宋体"/>
                <w:sz w:val="24"/>
                <w:szCs w:val="24"/>
              </w:rPr>
            </w:pPr>
            <w:r>
              <w:rPr>
                <w:rFonts w:hint="eastAsia" w:ascii="宋体" w:hAnsi="宋体" w:cs="宋体"/>
                <w:sz w:val="24"/>
                <w:szCs w:val="24"/>
              </w:rPr>
              <w:t xml:space="preserve">用于双头大锅灶</w:t>
            </w:r>
            <w:r/>
          </w:p>
        </w:tc>
      </w:tr>
      <w:tr>
        <w:trPr>
          <w:jc w:val="center"/>
          <w:trHeight w:val="583"/>
        </w:trPr>
        <w:tc>
          <w:tcPr>
            <w:tcW w:w="3539" w:type="dxa"/>
            <w:textDirection w:val="lrTb"/>
            <w:noWrap w:val="false"/>
          </w:tcPr>
          <w:p>
            <w:pPr>
              <w:pStyle w:val="1038"/>
              <w:ind w:firstLine="480"/>
              <w:jc w:val="center"/>
              <w:spacing w:line="400" w:lineRule="exact"/>
              <w:rPr>
                <w:rFonts w:hint="eastAsia" w:ascii="宋体" w:hAnsi="宋体" w:cs="宋体"/>
                <w:sz w:val="24"/>
                <w:szCs w:val="24"/>
              </w:rPr>
            </w:pPr>
            <w:r>
              <w:rPr>
                <w:rFonts w:hint="eastAsia" w:ascii="宋体" w:hAnsi="宋体" w:cs="宋体"/>
                <w:sz w:val="24"/>
                <w:szCs w:val="24"/>
              </w:rPr>
              <w:t xml:space="preserve">摇摆水龙头3</w:t>
            </w:r>
            <w:r/>
          </w:p>
        </w:tc>
        <w:tc>
          <w:tcPr>
            <w:tcW w:w="2268" w:type="dxa"/>
            <w:textDirection w:val="lrTb"/>
            <w:noWrap w:val="false"/>
          </w:tcPr>
          <w:p>
            <w:pPr>
              <w:pStyle w:val="1038"/>
              <w:ind w:firstLine="0"/>
              <w:jc w:val="center"/>
              <w:spacing w:line="400" w:lineRule="exact"/>
              <w:rPr>
                <w:rFonts w:hint="eastAsia" w:ascii="宋体" w:hAnsi="宋体" w:cs="宋体"/>
                <w:sz w:val="24"/>
                <w:szCs w:val="24"/>
              </w:rPr>
            </w:pPr>
            <w:r>
              <w:rPr>
                <w:rFonts w:hint="eastAsia" w:ascii="宋体" w:hAnsi="宋体" w:cs="宋体"/>
                <w:sz w:val="24"/>
                <w:szCs w:val="24"/>
              </w:rPr>
              <w:t xml:space="preserve">74</w:t>
            </w:r>
            <w:r/>
          </w:p>
        </w:tc>
        <w:tc>
          <w:tcPr>
            <w:tcW w:w="2981" w:type="dxa"/>
            <w:vAlign w:val="center"/>
            <w:textDirection w:val="lrTb"/>
            <w:noWrap w:val="false"/>
          </w:tcPr>
          <w:p>
            <w:pPr>
              <w:pStyle w:val="1038"/>
              <w:ind w:firstLine="0"/>
              <w:jc w:val="center"/>
              <w:spacing w:line="400" w:lineRule="exact"/>
              <w:rPr>
                <w:rFonts w:hint="eastAsia" w:ascii="宋体" w:hAnsi="宋体" w:cs="宋体"/>
                <w:sz w:val="24"/>
                <w:szCs w:val="24"/>
              </w:rPr>
            </w:pPr>
            <w:r>
              <w:rPr>
                <w:rFonts w:hint="eastAsia" w:ascii="宋体" w:hAnsi="宋体" w:cs="宋体"/>
                <w:sz w:val="24"/>
                <w:szCs w:val="24"/>
              </w:rPr>
              <w:t xml:space="preserve">用于双头单尾炒灶</w:t>
            </w:r>
            <w:r/>
          </w:p>
        </w:tc>
      </w:tr>
      <w:tr>
        <w:trPr>
          <w:jc w:val="center"/>
          <w:trHeight w:val="583"/>
        </w:trPr>
        <w:tc>
          <w:tcPr>
            <w:tcW w:w="3539" w:type="dxa"/>
            <w:textDirection w:val="lrTb"/>
            <w:noWrap w:val="false"/>
          </w:tcPr>
          <w:p>
            <w:pPr>
              <w:pStyle w:val="1038"/>
              <w:ind w:firstLine="480"/>
              <w:jc w:val="center"/>
              <w:spacing w:line="400" w:lineRule="exact"/>
              <w:rPr>
                <w:rFonts w:hint="eastAsia" w:ascii="宋体" w:hAnsi="宋体" w:cs="宋体"/>
                <w:sz w:val="24"/>
                <w:szCs w:val="24"/>
              </w:rPr>
            </w:pPr>
            <w:r>
              <w:rPr>
                <w:rFonts w:hint="eastAsia" w:ascii="宋体" w:hAnsi="宋体" w:cs="宋体"/>
                <w:sz w:val="24"/>
                <w:szCs w:val="24"/>
              </w:rPr>
              <w:t xml:space="preserve">摇摆水龙头4</w:t>
            </w:r>
            <w:r/>
          </w:p>
        </w:tc>
        <w:tc>
          <w:tcPr>
            <w:tcW w:w="2268" w:type="dxa"/>
            <w:textDirection w:val="lrTb"/>
            <w:noWrap w:val="false"/>
          </w:tcPr>
          <w:p>
            <w:pPr>
              <w:pStyle w:val="1038"/>
              <w:ind w:firstLine="0"/>
              <w:jc w:val="center"/>
              <w:spacing w:line="400" w:lineRule="exact"/>
              <w:rPr>
                <w:rFonts w:hint="eastAsia" w:ascii="宋体" w:hAnsi="宋体" w:cs="宋体"/>
                <w:sz w:val="24"/>
                <w:szCs w:val="24"/>
              </w:rPr>
            </w:pPr>
            <w:r>
              <w:rPr>
                <w:rFonts w:hint="eastAsia" w:ascii="宋体" w:hAnsi="宋体" w:cs="宋体"/>
                <w:sz w:val="24"/>
                <w:szCs w:val="24"/>
              </w:rPr>
              <w:t xml:space="preserve">75</w:t>
            </w:r>
            <w:r/>
          </w:p>
        </w:tc>
        <w:tc>
          <w:tcPr>
            <w:tcW w:w="2981" w:type="dxa"/>
            <w:vAlign w:val="center"/>
            <w:textDirection w:val="lrTb"/>
            <w:noWrap w:val="false"/>
          </w:tcPr>
          <w:p>
            <w:pPr>
              <w:pStyle w:val="1038"/>
              <w:ind w:firstLine="0"/>
              <w:jc w:val="center"/>
              <w:spacing w:line="400" w:lineRule="exact"/>
              <w:rPr>
                <w:rFonts w:hint="eastAsia" w:ascii="宋体" w:hAnsi="宋体" w:cs="宋体"/>
                <w:sz w:val="24"/>
                <w:szCs w:val="24"/>
              </w:rPr>
            </w:pPr>
            <w:r>
              <w:rPr>
                <w:rFonts w:hint="eastAsia" w:ascii="宋体" w:hAnsi="宋体" w:cs="宋体"/>
                <w:sz w:val="24"/>
                <w:szCs w:val="24"/>
              </w:rPr>
              <w:t xml:space="preserve">用于双头双尾炒灶</w:t>
            </w:r>
            <w:r/>
          </w:p>
        </w:tc>
      </w:tr>
      <w:tr>
        <w:trPr>
          <w:jc w:val="center"/>
          <w:trHeight w:val="583"/>
        </w:trPr>
        <w:tc>
          <w:tcPr>
            <w:tcW w:w="3539" w:type="dxa"/>
            <w:textDirection w:val="lrTb"/>
            <w:noWrap w:val="false"/>
          </w:tcPr>
          <w:p>
            <w:pPr>
              <w:pStyle w:val="1038"/>
              <w:ind w:firstLine="480"/>
              <w:jc w:val="center"/>
              <w:spacing w:line="400" w:lineRule="exact"/>
              <w:rPr>
                <w:rFonts w:hint="eastAsia" w:ascii="宋体" w:hAnsi="宋体" w:cs="宋体"/>
                <w:sz w:val="24"/>
                <w:szCs w:val="24"/>
              </w:rPr>
            </w:pPr>
            <w:r>
              <w:rPr>
                <w:rFonts w:hint="eastAsia" w:ascii="宋体" w:hAnsi="宋体" w:cs="宋体"/>
                <w:sz w:val="24"/>
                <w:szCs w:val="24"/>
              </w:rPr>
              <w:t xml:space="preserve">摇摆水龙头5</w:t>
            </w:r>
            <w:r/>
          </w:p>
        </w:tc>
        <w:tc>
          <w:tcPr>
            <w:tcW w:w="2268" w:type="dxa"/>
            <w:textDirection w:val="lrTb"/>
            <w:noWrap w:val="false"/>
          </w:tcPr>
          <w:p>
            <w:pPr>
              <w:pStyle w:val="1038"/>
              <w:ind w:firstLine="0"/>
              <w:jc w:val="center"/>
              <w:spacing w:line="400" w:lineRule="exact"/>
              <w:rPr>
                <w:rFonts w:hint="eastAsia" w:ascii="宋体" w:hAnsi="宋体" w:cs="宋体"/>
                <w:sz w:val="24"/>
                <w:szCs w:val="24"/>
              </w:rPr>
            </w:pPr>
            <w:r>
              <w:rPr>
                <w:rFonts w:hint="eastAsia" w:ascii="宋体" w:hAnsi="宋体" w:cs="宋体"/>
                <w:sz w:val="24"/>
                <w:szCs w:val="24"/>
              </w:rPr>
              <w:t xml:space="preserve">76</w:t>
            </w:r>
            <w:r/>
          </w:p>
        </w:tc>
        <w:tc>
          <w:tcPr>
            <w:tcW w:w="2981" w:type="dxa"/>
            <w:vAlign w:val="center"/>
            <w:textDirection w:val="lrTb"/>
            <w:noWrap w:val="false"/>
          </w:tcPr>
          <w:p>
            <w:pPr>
              <w:pStyle w:val="1038"/>
              <w:ind w:firstLine="0"/>
              <w:jc w:val="center"/>
              <w:spacing w:line="400" w:lineRule="exact"/>
              <w:rPr>
                <w:rFonts w:hint="eastAsia" w:ascii="宋体" w:hAnsi="宋体" w:cs="宋体"/>
                <w:sz w:val="24"/>
                <w:szCs w:val="24"/>
              </w:rPr>
            </w:pPr>
            <w:r>
              <w:rPr>
                <w:rFonts w:hint="eastAsia" w:ascii="宋体" w:hAnsi="宋体" w:cs="宋体"/>
                <w:sz w:val="24"/>
                <w:szCs w:val="24"/>
              </w:rPr>
              <w:t xml:space="preserve">用于大锅灶连单炒单尾</w:t>
            </w:r>
            <w:r/>
          </w:p>
        </w:tc>
      </w:tr>
    </w:tbl>
    <w:p>
      <w:pPr>
        <w:pStyle w:val="1038"/>
        <w:ind w:firstLine="0"/>
        <w:jc w:val="left"/>
        <w:spacing w:line="400" w:lineRule="exact"/>
        <w:rPr>
          <w:rFonts w:ascii="Times New Roman" w:hAnsi="Times New Roman"/>
          <w:b/>
          <w:color w:val="ee0000"/>
          <w:sz w:val="24"/>
          <w:szCs w:val="24"/>
        </w:rPr>
      </w:pPr>
      <w:r>
        <w:rPr>
          <w:rFonts w:hint="eastAsia" w:ascii="Times New Roman" w:hAnsi="Times New Roman"/>
          <w:b/>
          <w:color w:val="ee0000"/>
          <w:sz w:val="24"/>
          <w:szCs w:val="24"/>
        </w:rPr>
        <w:t xml:space="preserve">九、</w:t>
      </w:r>
      <w:r>
        <w:rPr>
          <w:rFonts w:ascii="Times New Roman" w:hAnsi="Times New Roman"/>
          <w:b/>
          <w:color w:val="ee0000"/>
          <w:sz w:val="24"/>
          <w:szCs w:val="24"/>
        </w:rPr>
        <w:t xml:space="preserve">技术参数中标</w:t>
      </w:r>
      <w:r>
        <w:rPr>
          <w:rFonts w:ascii="Times New Roman" w:hAnsi="Times New Roman"/>
          <w:b/>
          <w:color w:val="ee0000"/>
          <w:sz w:val="24"/>
          <w:szCs w:val="24"/>
        </w:rPr>
        <w:t xml:space="preserve">“</w:t>
      </w:r>
      <w:r>
        <w:rPr>
          <w:rFonts w:ascii="Segoe UI Symbol" w:hAnsi="Segoe UI Symbol" w:cs="Segoe UI Symbol"/>
          <w:b/>
          <w:color w:val="ee0000"/>
          <w:sz w:val="24"/>
          <w:szCs w:val="24"/>
        </w:rPr>
        <w:t xml:space="preserve">★</w:t>
      </w:r>
      <w:r>
        <w:rPr>
          <w:rFonts w:ascii="Times New Roman" w:hAnsi="Times New Roman"/>
          <w:b/>
          <w:color w:val="ee0000"/>
          <w:sz w:val="24"/>
          <w:szCs w:val="24"/>
        </w:rPr>
        <w:t xml:space="preserve">”</w:t>
      </w:r>
      <w:r>
        <w:rPr>
          <w:rFonts w:ascii="Times New Roman" w:hAnsi="Times New Roman"/>
          <w:b/>
          <w:color w:val="ee0000"/>
          <w:sz w:val="24"/>
          <w:szCs w:val="24"/>
        </w:rPr>
        <w:t xml:space="preserve">参数</w:t>
      </w:r>
      <w:r>
        <w:rPr>
          <w:rFonts w:hint="eastAsia" w:ascii="Times New Roman" w:hAnsi="Times New Roman"/>
          <w:b/>
          <w:color w:val="ee0000"/>
          <w:sz w:val="24"/>
          <w:szCs w:val="24"/>
        </w:rPr>
        <w:t xml:space="preserve">需</w:t>
      </w:r>
      <w:r>
        <w:rPr>
          <w:rFonts w:ascii="Times New Roman" w:hAnsi="Times New Roman"/>
          <w:b/>
          <w:color w:val="ee0000"/>
          <w:sz w:val="24"/>
          <w:szCs w:val="24"/>
        </w:rPr>
        <w:t xml:space="preserve">在技术偏离表响应，不得为负偏离，否则视为未实质性响应</w:t>
      </w:r>
      <w:r>
        <w:rPr>
          <w:rFonts w:hint="eastAsia" w:ascii="Times New Roman" w:hAnsi="Times New Roman"/>
          <w:b/>
          <w:color w:val="ee0000"/>
          <w:sz w:val="24"/>
          <w:szCs w:val="24"/>
        </w:rPr>
        <w:t xml:space="preserve">采购</w:t>
      </w:r>
      <w:r>
        <w:rPr>
          <w:rFonts w:ascii="Times New Roman" w:hAnsi="Times New Roman"/>
          <w:b/>
          <w:color w:val="ee0000"/>
          <w:sz w:val="24"/>
          <w:szCs w:val="24"/>
        </w:rPr>
        <w:t xml:space="preserve">文件。</w:t>
      </w:r>
      <w:r/>
    </w:p>
    <w:p>
      <w:pPr>
        <w:spacing w:line="360" w:lineRule="auto"/>
        <w:rPr>
          <w:rFonts w:hint="eastAsia"/>
          <w:b/>
          <w:sz w:val="36"/>
          <w:szCs w:val="36"/>
        </w:rPr>
        <w:sectPr>
          <w:footnotePr/>
          <w:endnotePr/>
          <w:type w:val="nextPage"/>
          <w:pgSz w:w="11906" w:h="16838" w:orient="portrait"/>
          <w:pgMar w:top="1440" w:right="1080" w:bottom="1440" w:left="1080" w:header="851" w:footer="992" w:gutter="0"/>
          <w:cols w:num="1" w:sep="0" w:space="720" w:equalWidth="1"/>
          <w:docGrid w:linePitch="360"/>
        </w:sectPr>
        <w:outlineLvl w:val="0"/>
      </w:pPr>
      <w:r/>
      <w:bookmarkStart w:id="470" w:name="_Toc197636632"/>
      <w:r/>
      <w:r/>
    </w:p>
    <w:p>
      <w:pPr>
        <w:jc w:val="center"/>
        <w:spacing w:line="360" w:lineRule="auto"/>
        <w:rPr>
          <w:rFonts w:hint="eastAsia"/>
          <w:b/>
          <w:sz w:val="36"/>
          <w:szCs w:val="36"/>
        </w:rPr>
        <w:outlineLvl w:val="0"/>
      </w:pPr>
      <w:r>
        <w:rPr>
          <w:b/>
          <w:sz w:val="36"/>
          <w:szCs w:val="36"/>
        </w:rPr>
        <w:t xml:space="preserve">第六章   拟签订的合同文本</w:t>
      </w:r>
      <w:bookmarkEnd w:id="470"/>
      <w:r/>
      <w:r/>
    </w:p>
    <w:p>
      <w:pPr>
        <w:ind w:firstLine="480"/>
        <w:spacing w:line="360" w:lineRule="auto"/>
        <w:rPr>
          <w:rFonts w:hint="eastAsia"/>
          <w:lang w:val="zh-CN"/>
        </w:rPr>
      </w:pPr>
      <w:r>
        <w:rPr>
          <w:rFonts w:hint="eastAsia"/>
          <w:lang w:val="zh-CN"/>
        </w:rPr>
        <w:t xml:space="preserve">采购人：（以下</w:t>
      </w:r>
      <w:r>
        <w:rPr>
          <w:rFonts w:hint="eastAsia"/>
          <w:lang w:val="zh-CN"/>
        </w:rPr>
        <w:t xml:space="preserve">简称甲方</w:t>
      </w:r>
      <w:r>
        <w:rPr>
          <w:rFonts w:hint="eastAsia"/>
          <w:lang w:val="zh-CN"/>
        </w:rPr>
        <w:t xml:space="preserve">）</w:t>
      </w:r>
      <w:r/>
    </w:p>
    <w:p>
      <w:pPr>
        <w:ind w:firstLine="480"/>
        <w:spacing w:line="360" w:lineRule="auto"/>
        <w:rPr>
          <w:rFonts w:hint="eastAsia"/>
          <w:lang w:val="zh-CN"/>
        </w:rPr>
      </w:pPr>
      <w:r>
        <w:rPr>
          <w:rFonts w:hint="eastAsia"/>
          <w:lang w:val="zh-CN"/>
        </w:rPr>
        <w:t xml:space="preserve">供应商：</w:t>
      </w:r>
      <w:r>
        <w:rPr>
          <w:rFonts w:hint="eastAsia"/>
          <w:lang w:val="zh-CN"/>
        </w:rPr>
        <w:t xml:space="preserve">（以下简称乙方）</w:t>
      </w:r>
      <w:r/>
    </w:p>
    <w:p>
      <w:pPr>
        <w:ind w:firstLine="480"/>
        <w:spacing w:line="360" w:lineRule="auto"/>
        <w:rPr>
          <w:rFonts w:hint="eastAsia"/>
        </w:rPr>
      </w:pPr>
      <w:r>
        <w:rPr>
          <w:rFonts w:hint="eastAsia"/>
          <w:lang w:val="zh-CN"/>
        </w:rPr>
        <w:t xml:space="preserve">根据《中华人民共和国政府采购法》、《中华人民共和国民法典》等法律法规的规定，甲乙双方按照</w:t>
      </w:r>
      <w:r>
        <w:rPr>
          <w:rFonts w:hint="eastAsia"/>
          <w:u w:val="single"/>
        </w:rPr>
        <w:t xml:space="preserve">                     </w:t>
      </w:r>
      <w:r>
        <w:rPr>
          <w:rFonts w:hint="eastAsia"/>
        </w:rPr>
        <w:t xml:space="preserve">项目</w:t>
      </w:r>
      <w:r>
        <w:rPr>
          <w:rFonts w:hint="eastAsia"/>
          <w:lang w:val="zh-CN"/>
        </w:rPr>
        <w:t xml:space="preserve">的采购结果签订本合同。</w:t>
      </w:r>
      <w:r/>
    </w:p>
    <w:p>
      <w:pPr>
        <w:ind w:firstLine="480"/>
        <w:spacing w:line="360" w:lineRule="auto"/>
        <w:rPr>
          <w:rFonts w:hint="eastAsia"/>
        </w:rPr>
      </w:pPr>
      <w:r>
        <w:rPr>
          <w:rFonts w:hint="eastAsia"/>
        </w:rPr>
        <w:t xml:space="preserve">第一条　采购内容</w:t>
      </w:r>
      <w:r/>
    </w:p>
    <w:p>
      <w:pPr>
        <w:ind w:firstLine="480"/>
        <w:spacing w:line="360" w:lineRule="auto"/>
        <w:rPr>
          <w:rFonts w:hint="eastAsia"/>
        </w:rPr>
      </w:pPr>
      <w:r>
        <w:rPr>
          <w:rFonts w:hint="eastAsia"/>
        </w:rPr>
        <w:t xml:space="preserve">1、项目名称： </w:t>
      </w:r>
      <w:r/>
    </w:p>
    <w:p>
      <w:pPr>
        <w:ind w:firstLine="480"/>
        <w:spacing w:line="360" w:lineRule="auto"/>
        <w:rPr>
          <w:rFonts w:hint="eastAsia"/>
        </w:rPr>
      </w:pPr>
      <w:r>
        <w:rPr>
          <w:rFonts w:hint="eastAsia"/>
        </w:rPr>
        <w:t xml:space="preserve">2、采购内容： </w:t>
      </w:r>
      <w:r/>
    </w:p>
    <w:p>
      <w:pPr>
        <w:ind w:firstLine="480"/>
        <w:spacing w:line="360" w:lineRule="auto"/>
        <w:rPr>
          <w:rFonts w:hint="eastAsia"/>
        </w:rPr>
      </w:pPr>
      <w:r>
        <w:rPr>
          <w:rFonts w:hint="eastAsia"/>
        </w:rPr>
        <w:t xml:space="preserve">3、服务范围： </w:t>
      </w:r>
      <w:r/>
    </w:p>
    <w:p>
      <w:pPr>
        <w:ind w:firstLine="480"/>
        <w:spacing w:line="360" w:lineRule="auto"/>
        <w:rPr>
          <w:rFonts w:hint="eastAsia"/>
        </w:rPr>
      </w:pPr>
      <w:r>
        <w:rPr>
          <w:rFonts w:hint="eastAsia"/>
        </w:rPr>
        <w:t xml:space="preserve">4、工期要求： 　　　　　　　　　　　　　</w:t>
      </w:r>
      <w:r/>
    </w:p>
    <w:p>
      <w:pPr>
        <w:ind w:firstLine="480"/>
        <w:spacing w:line="360" w:lineRule="auto"/>
        <w:rPr>
          <w:rFonts w:hint="eastAsia"/>
        </w:rPr>
      </w:pPr>
      <w:r>
        <w:rPr>
          <w:rFonts w:hint="eastAsia"/>
        </w:rPr>
        <w:t xml:space="preserve">5、其他：</w:t>
      </w:r>
      <w:r/>
    </w:p>
    <w:p>
      <w:pPr>
        <w:ind w:firstLine="480"/>
        <w:spacing w:line="360" w:lineRule="auto"/>
        <w:rPr>
          <w:rFonts w:hint="eastAsia"/>
        </w:rPr>
      </w:pPr>
      <w:r>
        <w:rPr>
          <w:rFonts w:hint="eastAsia"/>
        </w:rPr>
        <w:t xml:space="preserve">6、项目负责人:        联系方式：　　　　</w:t>
      </w:r>
      <w:r/>
    </w:p>
    <w:p>
      <w:pPr>
        <w:ind w:firstLine="480"/>
        <w:spacing w:line="360" w:lineRule="auto"/>
        <w:rPr>
          <w:rFonts w:hint="eastAsia"/>
        </w:rPr>
      </w:pPr>
      <w:r>
        <w:rPr>
          <w:rFonts w:hint="eastAsia"/>
        </w:rPr>
        <w:t xml:space="preserve">7、本项目是固定单价合同，（合同总价内）按实结算。　　　　　　　　　　　　　　　　　　　　　</w:t>
      </w:r>
      <w:r/>
    </w:p>
    <w:p>
      <w:pPr>
        <w:ind w:firstLine="480"/>
        <w:spacing w:line="360" w:lineRule="auto"/>
        <w:rPr>
          <w:rFonts w:hint="eastAsia"/>
          <w:lang w:val="zh-CN"/>
        </w:rPr>
      </w:pPr>
      <w:r>
        <w:rPr>
          <w:rFonts w:hint="eastAsia"/>
          <w:lang w:val="zh-CN"/>
        </w:rPr>
        <w:t xml:space="preserve">第二条　合同总价款</w:t>
      </w:r>
      <w:r/>
    </w:p>
    <w:p>
      <w:pPr>
        <w:ind w:firstLine="480"/>
        <w:spacing w:line="360" w:lineRule="auto"/>
        <w:rPr>
          <w:rFonts w:hint="eastAsia"/>
          <w:lang w:val="zh-CN"/>
        </w:rPr>
      </w:pPr>
      <w:r>
        <w:rPr>
          <w:rFonts w:hint="eastAsia"/>
          <w:lang w:val="zh-CN"/>
        </w:rPr>
        <w:t xml:space="preserve">本合同人民币总价款为　　　　　　　（小写），　　　　　　　　（大写）。</w:t>
      </w:r>
      <w:r/>
    </w:p>
    <w:p>
      <w:pPr>
        <w:ind w:firstLine="480"/>
        <w:spacing w:line="360" w:lineRule="auto"/>
        <w:rPr>
          <w:rFonts w:hint="eastAsia"/>
          <w:lang w:val="zh-CN"/>
        </w:rPr>
      </w:pPr>
      <w:r>
        <w:rPr>
          <w:rFonts w:hint="eastAsia"/>
          <w:lang w:val="zh-CN"/>
        </w:rPr>
        <w:t xml:space="preserve">第三条　组成本合同的有关文件</w:t>
      </w:r>
      <w:r/>
    </w:p>
    <w:p>
      <w:pPr>
        <w:ind w:firstLine="480"/>
        <w:spacing w:line="360" w:lineRule="auto"/>
        <w:rPr>
          <w:rFonts w:hint="eastAsia"/>
          <w:lang w:val="zh-CN"/>
        </w:rPr>
      </w:pPr>
      <w:r>
        <w:rPr>
          <w:rFonts w:hint="eastAsia"/>
          <w:lang w:val="zh-CN"/>
        </w:rPr>
        <w:t xml:space="preserve">下列关于本次采购活动方式相适应的文件及有关附件是本合同不可分割的组成部分，与本合同具有同等法律效力，这些文件包括但不限于：</w:t>
      </w:r>
      <w:r/>
    </w:p>
    <w:p>
      <w:pPr>
        <w:ind w:firstLine="480"/>
        <w:spacing w:line="360" w:lineRule="auto"/>
        <w:rPr>
          <w:rFonts w:hint="eastAsia"/>
          <w:lang w:val="zh-CN"/>
        </w:rPr>
      </w:pPr>
      <w:r>
        <w:rPr>
          <w:rFonts w:hint="eastAsia"/>
          <w:lang w:val="zh-CN"/>
        </w:rPr>
        <w:t xml:space="preserve">（1）采购文件；</w:t>
      </w:r>
      <w:r/>
    </w:p>
    <w:p>
      <w:pPr>
        <w:ind w:firstLine="480"/>
        <w:spacing w:line="360" w:lineRule="auto"/>
        <w:rPr>
          <w:rFonts w:hint="eastAsia"/>
          <w:lang w:val="zh-CN"/>
        </w:rPr>
      </w:pPr>
      <w:r>
        <w:rPr>
          <w:rFonts w:hint="eastAsia"/>
          <w:lang w:val="zh-CN"/>
        </w:rPr>
        <w:t xml:space="preserve">（2）投标文件；</w:t>
      </w:r>
      <w:r/>
    </w:p>
    <w:p>
      <w:pPr>
        <w:ind w:firstLine="480"/>
        <w:spacing w:line="360" w:lineRule="auto"/>
        <w:rPr>
          <w:rFonts w:hint="eastAsia"/>
          <w:lang w:val="zh-CN"/>
        </w:rPr>
      </w:pPr>
      <w:r>
        <w:rPr>
          <w:rFonts w:hint="eastAsia"/>
          <w:lang w:val="zh-CN"/>
        </w:rPr>
        <w:t xml:space="preserve">（3）中标通知书；</w:t>
      </w:r>
      <w:r/>
    </w:p>
    <w:p>
      <w:pPr>
        <w:ind w:firstLine="480"/>
        <w:spacing w:line="360" w:lineRule="auto"/>
        <w:rPr>
          <w:rFonts w:hint="eastAsia"/>
          <w:lang w:val="zh-CN"/>
        </w:rPr>
      </w:pPr>
      <w:r>
        <w:rPr>
          <w:rFonts w:hint="eastAsia"/>
          <w:lang w:val="zh-CN"/>
        </w:rPr>
        <w:t xml:space="preserve">（4）中标人在投标、评标过程中所作其它有关承诺、声明、书面澄清；</w:t>
      </w:r>
      <w:r/>
    </w:p>
    <w:p>
      <w:pPr>
        <w:ind w:firstLine="480"/>
        <w:spacing w:line="360" w:lineRule="auto"/>
        <w:rPr>
          <w:rFonts w:hint="eastAsia"/>
          <w:lang w:val="zh-CN"/>
        </w:rPr>
      </w:pPr>
      <w:r>
        <w:rPr>
          <w:rFonts w:hint="eastAsia"/>
          <w:lang w:val="zh-CN"/>
        </w:rPr>
        <w:t xml:space="preserve">（5）甲乙双方商定的其他文件等。</w:t>
      </w:r>
      <w:r/>
    </w:p>
    <w:p>
      <w:pPr>
        <w:ind w:firstLine="480"/>
        <w:spacing w:line="360" w:lineRule="auto"/>
        <w:rPr>
          <w:rFonts w:hint="eastAsia"/>
          <w:lang w:val="zh-CN"/>
        </w:rPr>
      </w:pPr>
      <w:r>
        <w:rPr>
          <w:rFonts w:hint="eastAsia"/>
          <w:lang w:val="zh-CN"/>
        </w:rPr>
        <w:t xml:space="preserve">第四条　权利保证</w:t>
      </w:r>
      <w:r/>
    </w:p>
    <w:p>
      <w:pPr>
        <w:ind w:firstLine="480"/>
        <w:spacing w:line="360" w:lineRule="auto"/>
        <w:rPr>
          <w:rFonts w:hint="eastAsia"/>
          <w:lang w:val="zh-CN"/>
        </w:rPr>
      </w:pPr>
      <w:r>
        <w:rPr>
          <w:rFonts w:hint="eastAsia"/>
          <w:lang w:val="zh-CN"/>
        </w:rPr>
        <w:t xml:space="preserve">乙方应保证甲方在合同履行期限内不受第三方提出侵犯其专利权、版权、商标权或其他权利的起诉。一旦出现侵权，乙方应承担全部责任。</w:t>
      </w:r>
      <w:r/>
    </w:p>
    <w:p>
      <w:pPr>
        <w:ind w:firstLine="480"/>
        <w:spacing w:line="360" w:lineRule="auto"/>
        <w:rPr>
          <w:rFonts w:hint="eastAsia"/>
          <w:lang w:val="zh-CN"/>
        </w:rPr>
      </w:pPr>
      <w:r>
        <w:rPr>
          <w:rFonts w:hint="eastAsia"/>
          <w:lang w:val="zh-CN"/>
        </w:rPr>
        <w:t xml:space="preserve">第五条　质量保证和售后服务</w:t>
      </w:r>
      <w:r/>
    </w:p>
    <w:p>
      <w:pPr>
        <w:ind w:firstLine="480"/>
        <w:spacing w:line="360" w:lineRule="auto"/>
        <w:rPr>
          <w:rFonts w:hint="eastAsia"/>
        </w:rPr>
      </w:pPr>
      <w:r>
        <w:rPr>
          <w:rFonts w:hint="eastAsia"/>
        </w:rPr>
        <w:t xml:space="preserve">1、乙方应按采购文件规定的服务要求、技术要求、质量标准向甲方提供服务。</w:t>
      </w:r>
      <w:r/>
    </w:p>
    <w:p>
      <w:pPr>
        <w:ind w:firstLine="480"/>
        <w:spacing w:line="360" w:lineRule="auto"/>
        <w:rPr>
          <w:rFonts w:hint="eastAsia"/>
          <w:lang w:val="zh-CN"/>
        </w:rPr>
      </w:pPr>
      <w:r>
        <w:rPr>
          <w:rFonts w:hint="eastAsia"/>
          <w:lang w:val="zh-CN"/>
        </w:rPr>
        <w:t xml:space="preserve">2、质量保证：</w:t>
      </w:r>
      <w:r/>
    </w:p>
    <w:p>
      <w:pPr>
        <w:ind w:firstLine="480"/>
        <w:spacing w:line="360" w:lineRule="auto"/>
        <w:rPr>
          <w:rFonts w:hint="eastAsia"/>
        </w:rPr>
      </w:pPr>
      <w:r>
        <w:rPr>
          <w:rFonts w:hint="eastAsia"/>
          <w:lang w:val="zh-CN"/>
        </w:rPr>
        <w:t xml:space="preserve">3、售后服务：　　　　　　　　　　　　　　　　　　　　　　　　　　</w:t>
      </w:r>
      <w:r/>
    </w:p>
    <w:p>
      <w:pPr>
        <w:ind w:firstLine="482"/>
        <w:spacing w:line="360" w:lineRule="auto"/>
        <w:rPr>
          <w:rFonts w:hint="eastAsia"/>
          <w:lang w:val="zh-CN"/>
        </w:rPr>
      </w:pPr>
      <w:r>
        <w:rPr>
          <w:rFonts w:hint="eastAsia"/>
        </w:rPr>
        <w:t xml:space="preserve">采购文件、投标文件、合同条款及中标通知书，中标人在投标、评标过程中所作其它有关承诺、声明、书面澄清等均为合同不可分割的部分，与主合同具有同等法律效力。</w:t>
      </w:r>
      <w:r/>
    </w:p>
    <w:p>
      <w:pPr>
        <w:ind w:firstLine="482"/>
        <w:spacing w:line="360" w:lineRule="auto"/>
        <w:rPr>
          <w:rFonts w:hint="eastAsia"/>
          <w:lang w:val="zh-CN"/>
        </w:rPr>
      </w:pPr>
      <w:r>
        <w:rPr>
          <w:rFonts w:hint="eastAsia"/>
          <w:lang w:val="zh-CN"/>
        </w:rPr>
        <w:t xml:space="preserve">第六条　验收</w:t>
      </w:r>
      <w:r/>
    </w:p>
    <w:p>
      <w:pPr>
        <w:ind w:firstLine="482"/>
        <w:spacing w:line="360" w:lineRule="auto"/>
        <w:rPr>
          <w:rFonts w:hint="eastAsia"/>
        </w:rPr>
      </w:pPr>
      <w:r>
        <w:rPr>
          <w:rFonts w:hint="eastAsia"/>
        </w:rPr>
        <w:t xml:space="preserve">验收主体：采购人</w:t>
      </w:r>
      <w:r/>
    </w:p>
    <w:p>
      <w:pPr>
        <w:ind w:firstLine="482"/>
        <w:spacing w:line="360" w:lineRule="auto"/>
        <w:rPr>
          <w:rFonts w:hint="eastAsia"/>
        </w:rPr>
      </w:pPr>
      <w:r>
        <w:rPr>
          <w:rFonts w:hint="eastAsia"/>
        </w:rPr>
        <w:t xml:space="preserve">验收时间：履约验收条件达到时，采购人应当在5个工作日内启动履约验收工作，并向供应商发出《政府采购履约验收通知单》。</w:t>
      </w:r>
      <w:r/>
    </w:p>
    <w:p>
      <w:pPr>
        <w:ind w:firstLine="482"/>
        <w:spacing w:line="360" w:lineRule="auto"/>
        <w:rPr>
          <w:rFonts w:hint="eastAsia"/>
        </w:rPr>
      </w:pPr>
      <w:r>
        <w:rPr>
          <w:rFonts w:hint="eastAsia"/>
        </w:rPr>
        <w:t xml:space="preserve">验收方式：采购人成立验收小组，负责采购项目履约验收具体工作。（技术复杂或专业性强的政府采购项目，可以邀请有资质的第三方专业机构参加验收并出具专业意见。对于采购人和使用人分离的采购项目，采购人或其委托的采购代理机构应当邀请实际使用人参与验收。 政府向社会公众提供的公共服务项目，验收时应当邀请服务对象进行公共服务项目满意度评价，评价结果作为履约验收的参考依据。）</w:t>
      </w:r>
      <w:r/>
    </w:p>
    <w:p>
      <w:pPr>
        <w:ind w:firstLine="482"/>
        <w:spacing w:line="360" w:lineRule="auto"/>
        <w:rPr>
          <w:rFonts w:hint="eastAsia"/>
        </w:rPr>
      </w:pPr>
      <w:r>
        <w:rPr>
          <w:rFonts w:hint="eastAsia"/>
        </w:rPr>
        <w:t xml:space="preserve">验收内容：验收小组应当制定验收工作实施方案，按照方案开展验收，出具验收意见。</w:t>
      </w:r>
      <w:r/>
    </w:p>
    <w:p>
      <w:pPr>
        <w:ind w:firstLine="482"/>
        <w:spacing w:line="360" w:lineRule="auto"/>
        <w:rPr>
          <w:rFonts w:hint="eastAsia"/>
        </w:rPr>
      </w:pPr>
      <w:r>
        <w:rPr>
          <w:rFonts w:hint="eastAsia"/>
        </w:rPr>
        <w:t xml:space="preserve">验收标准：应当符合政府采购合同约定、乙方投标文件的承诺、法律法规以及国家强制性标准等。用电设备或电热、蒸汽设备，需符合当地最新之标准，燃气用具需符合当地燃气法规和相关管理部门的认可。</w:t>
      </w:r>
      <w:r/>
    </w:p>
    <w:p>
      <w:pPr>
        <w:ind w:firstLine="482"/>
        <w:spacing w:line="360" w:lineRule="auto"/>
        <w:rPr>
          <w:rFonts w:hint="eastAsia"/>
          <w:lang w:val="zh-CN"/>
        </w:rPr>
      </w:pPr>
      <w:r>
        <w:rPr>
          <w:rFonts w:hint="eastAsia"/>
          <w:lang w:val="zh-CN"/>
        </w:rPr>
        <w:t xml:space="preserve">第七条　付款</w:t>
      </w:r>
      <w:r/>
    </w:p>
    <w:p>
      <w:pPr>
        <w:ind w:firstLine="480"/>
        <w:spacing w:line="360" w:lineRule="auto"/>
        <w:rPr>
          <w:rFonts w:hint="eastAsia"/>
          <w:lang w:val="zh-CN"/>
        </w:rPr>
      </w:pPr>
      <w:r>
        <w:rPr>
          <w:rFonts w:hint="eastAsia"/>
          <w:lang w:val="zh-CN"/>
        </w:rPr>
        <w:t xml:space="preserve">1、本合同项下所有款项均以人民币支付，乙方向甲方开具发票。</w:t>
      </w:r>
      <w:r/>
    </w:p>
    <w:p>
      <w:pPr>
        <w:ind w:firstLine="480"/>
        <w:spacing w:line="360" w:lineRule="auto"/>
        <w:rPr>
          <w:rFonts w:hint="eastAsia"/>
          <w:b/>
          <w:lang w:val="zh-CN"/>
        </w:rPr>
      </w:pPr>
      <w:r>
        <w:rPr>
          <w:rFonts w:hint="eastAsia"/>
          <w:b/>
          <w:lang w:val="zh-CN"/>
        </w:rPr>
        <w:t xml:space="preserve">2、付款方式：</w:t>
      </w:r>
      <w:r/>
    </w:p>
    <w:p>
      <w:pPr>
        <w:ind w:firstLine="480"/>
        <w:spacing w:line="360" w:lineRule="auto"/>
        <w:rPr>
          <w:rFonts w:hint="eastAsia"/>
        </w:rPr>
      </w:pPr>
      <w:r>
        <w:t xml:space="preserve">2.</w:t>
      </w:r>
      <w:r>
        <w:rPr>
          <w:rFonts w:hint="eastAsia"/>
        </w:rPr>
        <w:t xml:space="preserve">1、签订合同后，货物全部到场</w:t>
      </w:r>
      <w:r>
        <w:rPr>
          <w:rFonts w:hint="eastAsia"/>
        </w:rPr>
        <w:t xml:space="preserve">初验</w:t>
      </w:r>
      <w:r>
        <w:rPr>
          <w:rFonts w:hint="eastAsia"/>
        </w:rPr>
        <w:t xml:space="preserve">后付至合同价的50%；</w:t>
      </w:r>
      <w:r/>
    </w:p>
    <w:p>
      <w:pPr>
        <w:ind w:firstLine="480"/>
        <w:spacing w:line="360" w:lineRule="auto"/>
        <w:rPr>
          <w:rFonts w:hint="eastAsia"/>
        </w:rPr>
      </w:pPr>
      <w:r>
        <w:rPr>
          <w:rFonts w:hint="eastAsia"/>
        </w:rPr>
        <w:t xml:space="preserve">2.2、</w:t>
      </w:r>
      <w:bookmarkStart w:id="471" w:name="_Hlk216767114"/>
      <w:r>
        <w:rPr>
          <w:rFonts w:hint="eastAsia"/>
        </w:rPr>
        <w:t xml:space="preserve">安装调试结束并经验收合格后支付至</w:t>
      </w:r>
      <w:r>
        <w:rPr>
          <w:rFonts w:hint="eastAsia"/>
        </w:rPr>
        <w:t xml:space="preserve">审计结算价</w:t>
      </w:r>
      <w:r>
        <w:rPr>
          <w:rFonts w:hint="eastAsia"/>
        </w:rPr>
        <w:t xml:space="preserve">的100%</w:t>
      </w:r>
      <w:bookmarkEnd w:id="471"/>
      <w:r>
        <w:rPr>
          <w:rFonts w:hint="eastAsia"/>
        </w:rPr>
        <w:t xml:space="preserve">。</w:t>
      </w:r>
      <w:r/>
    </w:p>
    <w:p>
      <w:pPr>
        <w:ind w:firstLine="480"/>
        <w:spacing w:line="360" w:lineRule="auto"/>
        <w:rPr>
          <w:rFonts w:hint="eastAsia"/>
        </w:rPr>
      </w:pPr>
      <w:r>
        <w:rPr>
          <w:rFonts w:hint="eastAsia"/>
        </w:rPr>
        <w:t xml:space="preserve">注:</w:t>
      </w:r>
      <w:r/>
    </w:p>
    <w:p>
      <w:pPr>
        <w:ind w:firstLine="480"/>
        <w:spacing w:line="360" w:lineRule="auto"/>
        <w:rPr>
          <w:rFonts w:hint="eastAsia"/>
        </w:rPr>
      </w:pPr>
      <w:r>
        <w:rPr>
          <w:rFonts w:hint="eastAsia"/>
        </w:rPr>
        <w:t xml:space="preserve">1) 本项目按实结算，以项目完成后审计单位的审计结果作为结算依据。</w:t>
      </w:r>
      <w:r/>
    </w:p>
    <w:p>
      <w:pPr>
        <w:ind w:firstLine="480"/>
        <w:spacing w:line="360" w:lineRule="auto"/>
        <w:rPr>
          <w:rFonts w:hint="eastAsia"/>
        </w:rPr>
      </w:pPr>
      <w:r>
        <w:rPr>
          <w:rFonts w:hint="eastAsia"/>
        </w:rPr>
        <w:t xml:space="preserve">2) 每次付款前中标人必须提交发票等符合采购人要求的付款材料，否则采购人有权推迟付款时间。</w:t>
      </w:r>
      <w:r/>
    </w:p>
    <w:p>
      <w:pPr>
        <w:ind w:firstLine="480"/>
        <w:spacing w:line="360" w:lineRule="auto"/>
        <w:rPr>
          <w:rFonts w:hint="eastAsia"/>
          <w:lang w:val="zh-CN"/>
        </w:rPr>
      </w:pPr>
      <w:r>
        <w:rPr>
          <w:rFonts w:hint="eastAsia"/>
        </w:rPr>
        <w:t xml:space="preserve">3、履约保证金：</w:t>
      </w:r>
      <w:r>
        <w:rPr>
          <w:rFonts w:hint="eastAsia"/>
        </w:rPr>
        <w:t xml:space="preserve">合同金额的5%。</w:t>
      </w:r>
      <w:r>
        <w:rPr>
          <w:rFonts w:hint="eastAsia"/>
          <w:lang w:val="zh-CN"/>
        </w:rPr>
        <w:t xml:space="preserve">按照苏财购[2023]150号文，鼓励采用电子保函形式。中标人也可以自主选择以支票、汇票、本票、保函等非现金形式缴纳或提交。</w:t>
      </w:r>
      <w:r/>
    </w:p>
    <w:p>
      <w:pPr>
        <w:ind w:firstLine="480"/>
        <w:spacing w:line="360" w:lineRule="auto"/>
        <w:rPr>
          <w:rFonts w:hint="eastAsia"/>
          <w:lang w:val="zh-CN"/>
        </w:rPr>
      </w:pPr>
      <w:r>
        <w:rPr>
          <w:rFonts w:hint="eastAsia"/>
          <w:lang w:val="zh-CN"/>
        </w:rPr>
        <w:t xml:space="preserve">履约保证金的提交时间：中标人应当在合同签订前向采购人足额提交履约保证金。</w:t>
      </w:r>
      <w:r/>
    </w:p>
    <w:p>
      <w:pPr>
        <w:ind w:firstLine="480"/>
        <w:spacing w:line="360" w:lineRule="auto"/>
        <w:rPr>
          <w:rFonts w:hint="eastAsia"/>
          <w:lang w:val="zh-CN"/>
        </w:rPr>
      </w:pPr>
      <w:r>
        <w:rPr>
          <w:rFonts w:hint="eastAsia"/>
          <w:lang w:val="zh-CN"/>
        </w:rPr>
        <w:t xml:space="preserve">履约保证金退还方式：支票、汇票、本票或履约保函（保险）形式。</w:t>
      </w:r>
      <w:r/>
    </w:p>
    <w:p>
      <w:pPr>
        <w:ind w:firstLine="480"/>
        <w:spacing w:line="360" w:lineRule="auto"/>
        <w:rPr>
          <w:rFonts w:hint="eastAsia"/>
          <w:lang w:val="zh-CN"/>
        </w:rPr>
      </w:pPr>
      <w:r>
        <w:rPr>
          <w:rFonts w:hint="eastAsia"/>
          <w:lang w:val="zh-CN"/>
        </w:rPr>
        <w:t xml:space="preserve">履约保证金退还时间：采购人应在货物验收合格后退还剩余的履约保证金（无息）。</w:t>
      </w:r>
      <w:r/>
    </w:p>
    <w:p>
      <w:pPr>
        <w:ind w:firstLine="480"/>
        <w:spacing w:line="360" w:lineRule="auto"/>
        <w:rPr>
          <w:rFonts w:hint="eastAsia"/>
          <w:lang w:val="zh-CN"/>
        </w:rPr>
      </w:pPr>
      <w:r>
        <w:rPr>
          <w:rFonts w:hint="eastAsia"/>
          <w:lang w:val="zh-CN"/>
        </w:rPr>
        <w:t xml:space="preserve">履约保证金退还条件：中标人按合同要求履约完成后，经采购人审核后无息退还。</w:t>
      </w:r>
      <w:r/>
    </w:p>
    <w:p>
      <w:pPr>
        <w:ind w:firstLine="480"/>
        <w:spacing w:line="360" w:lineRule="auto"/>
        <w:rPr>
          <w:rFonts w:hint="eastAsia"/>
          <w:lang w:val="zh-CN"/>
        </w:rPr>
      </w:pPr>
      <w:r>
        <w:rPr>
          <w:rFonts w:hint="eastAsia"/>
          <w:lang w:val="zh-CN"/>
        </w:rPr>
        <w:t xml:space="preserve">履约保证金不予退还的情形：如果中标人不履行合同，履约保证金不予退还；如果中标人未能按合同约定全面履行义务，那么采购人有权从履约保证金中取得补偿或赔偿，同时不影响采购人要求中标人承担合同约定的超过履约保证金的违约责任的权利。</w:t>
      </w:r>
      <w:r/>
    </w:p>
    <w:p>
      <w:pPr>
        <w:spacing w:line="360" w:lineRule="auto"/>
        <w:rPr>
          <w:rFonts w:hint="eastAsia"/>
          <w:lang w:val="zh-CN"/>
        </w:rPr>
      </w:pPr>
      <w:r>
        <w:rPr>
          <w:rFonts w:hint="eastAsia"/>
          <w:lang w:val="zh-CN"/>
        </w:rPr>
        <w:t xml:space="preserve">第八条　违约责任</w:t>
      </w:r>
      <w:r/>
    </w:p>
    <w:p>
      <w:pPr>
        <w:ind w:firstLine="480"/>
        <w:spacing w:line="360" w:lineRule="auto"/>
        <w:rPr>
          <w:rFonts w:hint="eastAsia"/>
        </w:rPr>
      </w:pPr>
      <w:r>
        <w:rPr>
          <w:rFonts w:hint="eastAsia"/>
        </w:rPr>
        <w:t xml:space="preserve">1、甲方无正当理由拒绝验收或拒付合同款项的，应向乙方偿付合同总价10％的违约金。</w:t>
      </w:r>
      <w:r/>
    </w:p>
    <w:p>
      <w:pPr>
        <w:ind w:firstLine="480"/>
        <w:spacing w:line="360" w:lineRule="auto"/>
        <w:rPr>
          <w:rFonts w:hint="eastAsia"/>
        </w:rPr>
      </w:pPr>
      <w:r>
        <w:rPr>
          <w:rFonts w:hint="eastAsia"/>
        </w:rPr>
        <w:t xml:space="preserve">2、甲方逾期支付合同款项的，每逾期 1天应向乙方偿付欠款总额0.5％的滞纳金，但滞纳金总额累计不得超过欠款总额的5％；一旦滞纳金总额累计达到欠款总额的5％，乙方有权解除合同。区财政因素除外。</w:t>
      </w:r>
      <w:r/>
    </w:p>
    <w:p>
      <w:pPr>
        <w:ind w:firstLine="480"/>
        <w:spacing w:line="360" w:lineRule="auto"/>
        <w:rPr>
          <w:rFonts w:hint="eastAsia"/>
        </w:rPr>
      </w:pPr>
      <w:r>
        <w:rPr>
          <w:rFonts w:hint="eastAsia"/>
        </w:rPr>
        <w:t xml:space="preserve">3、乙方无法完成项目的，应向甲方支付合同总价10％的违约金，同时甲方有权解除合同，乙方交纳的全部履约保证金需扣除相应违约金或不予退还。</w:t>
      </w:r>
      <w:r/>
    </w:p>
    <w:p>
      <w:pPr>
        <w:ind w:firstLine="480"/>
        <w:spacing w:line="360" w:lineRule="auto"/>
        <w:rPr>
          <w:rFonts w:hint="eastAsia"/>
        </w:rPr>
      </w:pPr>
      <w:r>
        <w:rPr>
          <w:rFonts w:hint="eastAsia"/>
        </w:rPr>
        <w:t xml:space="preserve">4、乙方逾期完成项目的，每逾期1天应向甲方偿付逾期交付合同总额0.5％的滞纳金，但滞纳金累计不得超过逾期交付合同总额的5％；一旦滞纳金总额累计达到逾期交付合同总额的5％，甲方有权解除合同，乙方交纳的全部履约保证金需扣除相应违约金或不予退还。逾期超过1年，视乙方无法完成项目，项目自动终止，甲方停止支付剩余款项并按相关条款进行处理，剩余款项包括已经申请但并未支付款项。</w:t>
      </w:r>
      <w:r/>
    </w:p>
    <w:p>
      <w:pPr>
        <w:ind w:firstLine="480"/>
        <w:spacing w:line="360" w:lineRule="auto"/>
        <w:rPr>
          <w:rFonts w:hint="eastAsia"/>
        </w:rPr>
      </w:pPr>
      <w:r>
        <w:rPr>
          <w:rFonts w:hint="eastAsia"/>
        </w:rPr>
        <w:t xml:space="preserve">5、乙方完成的项目不符合要求的，应按照甲方选择的下列一种或多种方式承担赔偿责任：</w:t>
      </w:r>
      <w:r/>
    </w:p>
    <w:p>
      <w:pPr>
        <w:ind w:firstLine="480"/>
        <w:spacing w:line="360" w:lineRule="auto"/>
        <w:rPr>
          <w:rFonts w:hint="eastAsia"/>
        </w:rPr>
      </w:pPr>
      <w:r>
        <w:rPr>
          <w:rFonts w:hint="eastAsia"/>
        </w:rPr>
        <w:t xml:space="preserve">(1)在甲方同意延长的期限内交付符合要求的提供服务并承担由此给甲方造成的一切损失；逾期未完成或完成的项目仍不符合要求，乙方应向甲方支付合同总价10％的违约金，同时甲方有权解除合同。</w:t>
      </w:r>
      <w:r/>
    </w:p>
    <w:p>
      <w:pPr>
        <w:ind w:firstLine="480"/>
        <w:spacing w:line="360" w:lineRule="auto"/>
        <w:rPr>
          <w:rFonts w:hint="eastAsia"/>
        </w:rPr>
      </w:pPr>
      <w:r>
        <w:rPr>
          <w:rFonts w:hint="eastAsia"/>
        </w:rPr>
        <w:t xml:space="preserve">(2)在甲方规定时间内，修正有缺陷的部分以达到合同规定的要求并承担一切费用和风险，同时承担甲方因此所遭受的全部损失；</w:t>
      </w:r>
      <w:r/>
    </w:p>
    <w:p>
      <w:pPr>
        <w:ind w:firstLine="480"/>
        <w:spacing w:line="360" w:lineRule="auto"/>
        <w:rPr>
          <w:rFonts w:hint="eastAsia"/>
        </w:rPr>
      </w:pPr>
      <w:r>
        <w:rPr>
          <w:rFonts w:hint="eastAsia"/>
        </w:rPr>
        <w:t xml:space="preserve">(3)按合同规定同种货币退还甲方已付款项，同时承担由此发生的一切损失和费用，包括但不限于利息、银行手续费及所需的其他必要费用。</w:t>
      </w:r>
      <w:r/>
    </w:p>
    <w:p>
      <w:pPr>
        <w:ind w:firstLine="480"/>
        <w:spacing w:line="360" w:lineRule="auto"/>
        <w:rPr>
          <w:rFonts w:hint="eastAsia"/>
        </w:rPr>
      </w:pPr>
      <w:r>
        <w:rPr>
          <w:rFonts w:hint="eastAsia"/>
        </w:rPr>
        <w:t xml:space="preserve">6、乙方未按规定和承诺提供伴随服务、售后服务的，应向甲方支付合同总价5％的违约金。</w:t>
      </w:r>
      <w:r/>
    </w:p>
    <w:p>
      <w:pPr>
        <w:ind w:firstLine="480"/>
        <w:spacing w:line="360" w:lineRule="auto"/>
        <w:rPr>
          <w:rFonts w:hint="eastAsia"/>
        </w:rPr>
      </w:pPr>
      <w:r>
        <w:rPr>
          <w:rFonts w:hint="eastAsia"/>
        </w:rPr>
        <w:t xml:space="preserve">7、违约方承担违约责任并不影响其合同项下的义务(合同解除的除外)。</w:t>
      </w:r>
      <w:r/>
    </w:p>
    <w:p>
      <w:pPr>
        <w:ind w:firstLine="480"/>
        <w:spacing w:line="360" w:lineRule="auto"/>
        <w:rPr>
          <w:rFonts w:hint="eastAsia"/>
        </w:rPr>
      </w:pPr>
      <w:r>
        <w:rPr>
          <w:rFonts w:hint="eastAsia"/>
        </w:rPr>
        <w:t xml:space="preserve">8、其他：在供货期需要无条件配合采购方相关厨房设备等供货及安装事宜。　　　　　　　　　　　　　　　　　　　　　　　　　　　　</w:t>
      </w:r>
      <w:r/>
    </w:p>
    <w:p>
      <w:pPr>
        <w:ind w:firstLine="480"/>
        <w:spacing w:line="360" w:lineRule="auto"/>
        <w:rPr>
          <w:rFonts w:hint="eastAsia"/>
        </w:rPr>
      </w:pPr>
      <w:r>
        <w:rPr>
          <w:rFonts w:hint="eastAsia"/>
          <w:lang w:val="zh-CN"/>
        </w:rPr>
        <w:t xml:space="preserve">第九条　</w:t>
      </w:r>
      <w:r>
        <w:rPr>
          <w:rFonts w:hint="eastAsia"/>
        </w:rPr>
        <w:t xml:space="preserve">不可抗力</w:t>
      </w:r>
      <w:r/>
    </w:p>
    <w:p>
      <w:pPr>
        <w:ind w:firstLine="480"/>
        <w:spacing w:line="360" w:lineRule="auto"/>
        <w:rPr>
          <w:rFonts w:hint="eastAsia"/>
        </w:rPr>
      </w:pPr>
      <w:r>
        <w:rPr>
          <w:rFonts w:hint="eastAsia"/>
        </w:rPr>
        <w:t xml:space="preserve">1、不可抗力，是指不能预见、不能避免并不能克服的客观情况，如战争、动乱、瘟疫、严重火灾、洪水、地震、风暴或其他自然灾害等。</w:t>
      </w:r>
      <w:r/>
    </w:p>
    <w:p>
      <w:pPr>
        <w:ind w:firstLine="480"/>
        <w:spacing w:line="360" w:lineRule="auto"/>
        <w:rPr>
          <w:rFonts w:hint="eastAsia"/>
        </w:rPr>
      </w:pPr>
      <w:r>
        <w:rPr>
          <w:rFonts w:hint="eastAsia"/>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firstLine="480"/>
        <w:spacing w:line="360" w:lineRule="auto"/>
        <w:rPr>
          <w:rFonts w:hint="eastAsia"/>
        </w:rPr>
      </w:pPr>
      <w:r>
        <w:rPr>
          <w:rFonts w:hint="eastAsia"/>
        </w:rPr>
        <w:t xml:space="preserve">3、发生不可抗力事件，任何一方均不对因不可抗力无法履行或迟延履行本合同义务而使另一方蒙受的任何损失承担责任，法律另有规定的除外。</w:t>
      </w:r>
      <w:r/>
    </w:p>
    <w:p>
      <w:pPr>
        <w:ind w:firstLine="480"/>
        <w:spacing w:line="360" w:lineRule="auto"/>
        <w:rPr>
          <w:rFonts w:hint="eastAsia"/>
        </w:rPr>
      </w:pPr>
      <w:r>
        <w:rPr>
          <w:rFonts w:hint="eastAsia"/>
        </w:rPr>
        <w:t xml:space="preserve">4、合同各方应根据不可抗力对本合同履行的影响程度，协商确定是否终止本合同或是继续履行本合同。</w:t>
      </w:r>
      <w:r/>
    </w:p>
    <w:p>
      <w:pPr>
        <w:ind w:firstLine="480"/>
        <w:spacing w:line="360" w:lineRule="auto"/>
        <w:rPr>
          <w:rFonts w:hint="eastAsia"/>
          <w:lang w:val="zh-CN"/>
        </w:rPr>
      </w:pPr>
      <w:r>
        <w:rPr>
          <w:rFonts w:hint="eastAsia"/>
        </w:rPr>
        <w:t xml:space="preserve">第十条　</w:t>
      </w:r>
      <w:r>
        <w:rPr>
          <w:rFonts w:hint="eastAsia"/>
          <w:lang w:val="zh-CN"/>
        </w:rPr>
        <w:t xml:space="preserve">合同的变更和终止</w:t>
      </w:r>
      <w:r/>
    </w:p>
    <w:p>
      <w:pPr>
        <w:ind w:firstLine="480"/>
        <w:spacing w:line="360" w:lineRule="auto"/>
        <w:rPr>
          <w:rFonts w:hint="eastAsia"/>
          <w:lang w:val="zh-CN"/>
        </w:rPr>
      </w:pPr>
      <w:r>
        <w:rPr>
          <w:rFonts w:hint="eastAsia"/>
          <w:lang w:val="zh-CN"/>
        </w:rPr>
        <w:t xml:space="preserve">1、除《政府采购法》第五十条规定的情形外，本合同一经签订，甲乙双方不得擅自变更、中止或终止合同。</w:t>
      </w:r>
      <w:r/>
    </w:p>
    <w:p>
      <w:pPr>
        <w:ind w:firstLine="480"/>
        <w:spacing w:line="360" w:lineRule="auto"/>
        <w:rPr>
          <w:rFonts w:hint="eastAsia"/>
        </w:rPr>
      </w:pPr>
      <w:r>
        <w:rPr>
          <w:rFonts w:hint="eastAsia"/>
          <w:lang w:val="zh-CN"/>
        </w:rPr>
        <w:t xml:space="preserve">2、</w:t>
      </w:r>
      <w:r>
        <w:rPr>
          <w:rFonts w:hint="eastAsia"/>
        </w:rPr>
        <w:t xml:space="preserve">除发生法律规定的不能预见、不能避免并不能克服的客观情况外，甲乙双方不得放弃或拒绝履行合同。</w:t>
      </w:r>
      <w:r/>
    </w:p>
    <w:p>
      <w:pPr>
        <w:ind w:firstLine="480"/>
        <w:spacing w:line="360" w:lineRule="auto"/>
        <w:rPr>
          <w:rFonts w:hint="eastAsia"/>
        </w:rPr>
      </w:pPr>
      <w:r>
        <w:rPr>
          <w:rFonts w:hint="eastAsia"/>
        </w:rPr>
        <w:t xml:space="preserve">第十一条  合同的终止</w:t>
      </w:r>
      <w:r/>
    </w:p>
    <w:p>
      <w:pPr>
        <w:ind w:firstLine="480"/>
        <w:spacing w:line="360" w:lineRule="auto"/>
        <w:rPr>
          <w:rFonts w:hint="eastAsia"/>
        </w:rPr>
      </w:pPr>
      <w:r>
        <w:rPr>
          <w:rFonts w:hint="eastAsia"/>
        </w:rPr>
        <w:t xml:space="preserve">本合同因下列原因而终止：</w:t>
      </w:r>
      <w:r/>
    </w:p>
    <w:p>
      <w:pPr>
        <w:ind w:firstLine="480"/>
        <w:spacing w:line="360" w:lineRule="auto"/>
        <w:rPr>
          <w:rFonts w:hint="eastAsia"/>
        </w:rPr>
      </w:pPr>
      <w:r>
        <w:rPr>
          <w:rFonts w:hint="eastAsia"/>
        </w:rPr>
        <w:t xml:space="preserve">(1)本合同正常履行完毕；</w:t>
      </w:r>
      <w:r/>
    </w:p>
    <w:p>
      <w:pPr>
        <w:ind w:firstLine="480"/>
        <w:spacing w:line="360" w:lineRule="auto"/>
        <w:rPr>
          <w:rFonts w:hint="eastAsia"/>
        </w:rPr>
      </w:pPr>
      <w:r>
        <w:rPr>
          <w:rFonts w:hint="eastAsia"/>
        </w:rPr>
        <w:t xml:space="preserve">(2)因不可抗力导致本合同无法履行或履行不必要；</w:t>
      </w:r>
      <w:r/>
    </w:p>
    <w:p>
      <w:pPr>
        <w:ind w:firstLine="480"/>
        <w:spacing w:line="360" w:lineRule="auto"/>
        <w:rPr>
          <w:rFonts w:hint="eastAsia"/>
        </w:rPr>
      </w:pPr>
      <w:r>
        <w:rPr>
          <w:rFonts w:hint="eastAsia"/>
        </w:rPr>
        <w:t xml:space="preserve">(3)任何一方行使解除权解除本合同；</w:t>
      </w:r>
      <w:r/>
    </w:p>
    <w:p>
      <w:pPr>
        <w:ind w:firstLine="480"/>
        <w:spacing w:line="360" w:lineRule="auto"/>
        <w:rPr>
          <w:rFonts w:hint="eastAsia"/>
        </w:rPr>
      </w:pPr>
      <w:r>
        <w:rPr>
          <w:rFonts w:hint="eastAsia"/>
        </w:rPr>
        <w:t xml:space="preserve">(4)合同的继续履行将损害国家利益和社会公共利益。</w:t>
      </w:r>
      <w:r/>
    </w:p>
    <w:p>
      <w:pPr>
        <w:ind w:firstLine="480"/>
        <w:spacing w:line="360" w:lineRule="auto"/>
        <w:rPr>
          <w:rFonts w:hint="eastAsia"/>
        </w:rPr>
      </w:pPr>
      <w:r>
        <w:rPr>
          <w:rFonts w:hint="eastAsia"/>
        </w:rPr>
        <w:t xml:space="preserve">除上述情形外，甲乙双方不得擅自终止合同。</w:t>
      </w:r>
      <w:r/>
    </w:p>
    <w:p>
      <w:pPr>
        <w:ind w:firstLine="480"/>
        <w:spacing w:line="360" w:lineRule="auto"/>
        <w:rPr>
          <w:rFonts w:hint="eastAsia"/>
          <w:lang w:val="zh-CN"/>
        </w:rPr>
      </w:pPr>
      <w:r>
        <w:rPr>
          <w:rFonts w:hint="eastAsia"/>
          <w:lang w:val="zh-CN"/>
        </w:rPr>
        <w:t xml:space="preserve">第十二条　争议的解决</w:t>
      </w:r>
      <w:r/>
    </w:p>
    <w:p>
      <w:pPr>
        <w:ind w:firstLine="480"/>
        <w:spacing w:line="360" w:lineRule="auto"/>
        <w:rPr>
          <w:rFonts w:hint="eastAsia"/>
          <w:lang w:val="zh-CN"/>
        </w:rPr>
      </w:pPr>
      <w:r>
        <w:rPr>
          <w:rFonts w:hint="eastAsia"/>
          <w:lang w:val="zh-CN"/>
        </w:rPr>
        <w:t xml:space="preserve">1、因履行本合同引起的或与本合同有关的争议，甲、乙双方应首先通过友好协商解决，如果协商不能解决争议，则采取以下第</w:t>
      </w:r>
      <w:r>
        <w:rPr>
          <w:rFonts w:hint="eastAsia"/>
        </w:rPr>
        <w:t xml:space="preserve"> （1）  </w:t>
      </w:r>
      <w:r>
        <w:rPr>
          <w:rFonts w:hint="eastAsia"/>
          <w:lang w:val="zh-CN"/>
        </w:rPr>
        <w:t xml:space="preserve">种方式解决争议：</w:t>
      </w:r>
      <w:r/>
    </w:p>
    <w:p>
      <w:pPr>
        <w:ind w:firstLine="480"/>
        <w:spacing w:line="360" w:lineRule="auto"/>
        <w:rPr>
          <w:rFonts w:hint="eastAsia"/>
          <w:lang w:val="zh-CN"/>
        </w:rPr>
      </w:pPr>
      <w:r>
        <w:rPr>
          <w:rFonts w:hint="eastAsia"/>
          <w:lang w:val="zh-CN"/>
        </w:rPr>
        <w:t xml:space="preserve">（1）向甲方所在地有管辖权的人民法院提起诉讼；</w:t>
      </w:r>
      <w:r/>
    </w:p>
    <w:p>
      <w:pPr>
        <w:ind w:firstLine="480"/>
        <w:spacing w:line="360" w:lineRule="auto"/>
        <w:rPr>
          <w:rFonts w:hint="eastAsia"/>
          <w:lang w:val="zh-CN"/>
        </w:rPr>
      </w:pPr>
      <w:r>
        <w:rPr>
          <w:rFonts w:hint="eastAsia"/>
          <w:lang w:val="zh-CN"/>
        </w:rPr>
        <w:t xml:space="preserve">（2）向甲方所在地仲裁委员会按其仲裁规则申请仲裁。</w:t>
      </w:r>
      <w:r/>
    </w:p>
    <w:p>
      <w:pPr>
        <w:ind w:firstLine="480"/>
        <w:spacing w:line="360" w:lineRule="auto"/>
        <w:rPr>
          <w:rFonts w:hint="eastAsia"/>
          <w:lang w:val="zh-CN"/>
        </w:rPr>
      </w:pPr>
      <w:r>
        <w:rPr>
          <w:rFonts w:hint="eastAsia"/>
          <w:lang w:val="zh-CN"/>
        </w:rPr>
        <w:t xml:space="preserve">2、在仲裁期间，本合同应继续履行。</w:t>
      </w:r>
      <w:r/>
    </w:p>
    <w:p>
      <w:pPr>
        <w:ind w:firstLine="480"/>
        <w:spacing w:line="360" w:lineRule="auto"/>
        <w:rPr>
          <w:rFonts w:hint="eastAsia"/>
          <w:lang w:val="zh-CN"/>
        </w:rPr>
      </w:pPr>
      <w:r>
        <w:rPr>
          <w:rFonts w:hint="eastAsia"/>
          <w:lang w:val="zh-CN"/>
        </w:rPr>
        <w:t xml:space="preserve">第十三条　合同生效及其他</w:t>
      </w:r>
      <w:r/>
    </w:p>
    <w:p>
      <w:pPr>
        <w:ind w:firstLine="480"/>
        <w:spacing w:line="360" w:lineRule="auto"/>
        <w:rPr>
          <w:rFonts w:hint="eastAsia"/>
        </w:rPr>
      </w:pPr>
      <w:r>
        <w:rPr>
          <w:rFonts w:hint="eastAsia"/>
          <w:lang w:val="zh-CN"/>
        </w:rPr>
        <w:t xml:space="preserve">1、</w:t>
      </w:r>
      <w:r>
        <w:rPr>
          <w:rFonts w:hint="eastAsia"/>
        </w:rPr>
        <w:t xml:space="preserve">本合同由甲乙双方签字、盖章后生效，并通过“苏采云”系统在线签订。</w:t>
      </w:r>
      <w:r/>
    </w:p>
    <w:p>
      <w:pPr>
        <w:ind w:firstLine="480"/>
        <w:spacing w:line="360" w:lineRule="auto"/>
        <w:rPr>
          <w:rFonts w:hint="eastAsia"/>
          <w:lang w:val="zh-CN"/>
        </w:rPr>
      </w:pPr>
      <w:r>
        <w:rPr>
          <w:rFonts w:hint="eastAsia"/>
          <w:lang w:val="zh-CN"/>
        </w:rPr>
        <w:t xml:space="preserve">2、本合同应按照中华人民共和国的现行法律进行解释。</w:t>
      </w:r>
      <w:r/>
    </w:p>
    <w:p>
      <w:pPr>
        <w:ind w:firstLine="480"/>
        <w:spacing w:line="360" w:lineRule="auto"/>
        <w:rPr>
          <w:rFonts w:hint="eastAsia"/>
          <w:lang w:val="zh-CN"/>
        </w:rPr>
      </w:pPr>
      <w:r>
        <w:rPr>
          <w:rFonts w:hint="eastAsia"/>
          <w:lang w:val="zh-CN"/>
        </w:rPr>
      </w:r>
      <w:r/>
    </w:p>
    <w:tbl>
      <w:tblPr>
        <w:tblW w:w="9356" w:type="dxa"/>
        <w:jc w:val="center"/>
        <w:tblLayout w:type="fixed"/>
        <w:tblLook w:val="04A0" w:firstRow="1" w:lastRow="0" w:firstColumn="1" w:lastColumn="0" w:noHBand="0" w:noVBand="1"/>
      </w:tblPr>
      <w:tblGrid>
        <w:gridCol w:w="4536"/>
        <w:gridCol w:w="284"/>
        <w:gridCol w:w="4536"/>
      </w:tblGrid>
      <w:tr>
        <w:trPr>
          <w:jc w:val="center"/>
        </w:trPr>
        <w:tc>
          <w:tcPr>
            <w:tcBorders>
              <w:top w:val="none" w:color="000000" w:sz="4" w:space="0"/>
              <w:left w:val="none" w:color="000000" w:sz="4" w:space="0"/>
              <w:bottom w:val="none" w:color="000000" w:sz="4" w:space="0"/>
              <w:right w:val="none" w:color="000000" w:sz="4" w:space="0"/>
            </w:tcBorders>
            <w:tcW w:w="4536" w:type="dxa"/>
            <w:textDirection w:val="lrTb"/>
            <w:noWrap w:val="false"/>
          </w:tcPr>
          <w:p>
            <w:pPr>
              <w:ind w:firstLine="480"/>
              <w:spacing w:line="360" w:lineRule="auto"/>
              <w:rPr>
                <w:rFonts w:hint="eastAsia"/>
              </w:rPr>
            </w:pPr>
            <w:r>
              <w:rPr>
                <w:rFonts w:hint="eastAsia"/>
              </w:rPr>
              <w:t xml:space="preserve">甲方（采购人）：      （盖章）</w:t>
            </w:r>
            <w:r/>
          </w:p>
        </w:tc>
        <w:tc>
          <w:tcPr>
            <w:tcBorders>
              <w:top w:val="none" w:color="000000" w:sz="4" w:space="0"/>
              <w:left w:val="none" w:color="000000" w:sz="4" w:space="0"/>
              <w:bottom w:val="none" w:color="000000" w:sz="4" w:space="0"/>
              <w:right w:val="none" w:color="000000" w:sz="4" w:space="0"/>
            </w:tcBorders>
            <w:tcW w:w="284" w:type="dxa"/>
            <w:textDirection w:val="lrTb"/>
            <w:noWrap w:val="false"/>
          </w:tcPr>
          <w:p>
            <w:pPr>
              <w:ind w:firstLine="480"/>
              <w:spacing w:line="360" w:lineRule="auto"/>
              <w:rPr>
                <w:rFonts w:hint="eastAsia"/>
              </w:rPr>
            </w:pPr>
            <w:r>
              <w:rPr>
                <w:rFonts w:hint="eastAsia"/>
              </w:rPr>
            </w:r>
            <w:r/>
          </w:p>
        </w:tc>
        <w:tc>
          <w:tcPr>
            <w:tcBorders>
              <w:top w:val="none" w:color="000000" w:sz="4" w:space="0"/>
              <w:left w:val="none" w:color="000000" w:sz="4" w:space="0"/>
              <w:bottom w:val="none" w:color="000000" w:sz="4" w:space="0"/>
              <w:right w:val="none" w:color="000000" w:sz="4" w:space="0"/>
            </w:tcBorders>
            <w:tcW w:w="4536" w:type="dxa"/>
            <w:textDirection w:val="lrTb"/>
            <w:noWrap w:val="false"/>
          </w:tcPr>
          <w:p>
            <w:pPr>
              <w:ind w:firstLine="480"/>
              <w:spacing w:line="360" w:lineRule="auto"/>
              <w:rPr>
                <w:rFonts w:hint="eastAsia"/>
              </w:rPr>
            </w:pPr>
            <w:r>
              <w:rPr>
                <w:rFonts w:hint="eastAsia"/>
              </w:rPr>
              <w:t xml:space="preserve">乙方（投标人）：      （盖章）</w:t>
            </w:r>
            <w:r/>
          </w:p>
        </w:tc>
      </w:tr>
      <w:tr>
        <w:trPr>
          <w:jc w:val="center"/>
        </w:trPr>
        <w:tc>
          <w:tcPr>
            <w:tcBorders>
              <w:top w:val="none" w:color="000000" w:sz="4" w:space="0"/>
              <w:left w:val="none" w:color="000000" w:sz="4" w:space="0"/>
              <w:bottom w:val="none" w:color="000000" w:sz="4" w:space="0"/>
              <w:right w:val="none" w:color="000000" w:sz="4" w:space="0"/>
            </w:tcBorders>
            <w:tcW w:w="4536" w:type="dxa"/>
            <w:textDirection w:val="lrTb"/>
            <w:noWrap w:val="false"/>
          </w:tcPr>
          <w:p>
            <w:pPr>
              <w:ind w:firstLine="480"/>
              <w:spacing w:line="360" w:lineRule="auto"/>
              <w:rPr>
                <w:rFonts w:hint="eastAsia"/>
              </w:rPr>
            </w:pPr>
            <w:r>
              <w:rPr>
                <w:rFonts w:hint="eastAsia"/>
              </w:rPr>
              <w:t xml:space="preserve">地址：                              </w:t>
            </w:r>
            <w:r/>
          </w:p>
        </w:tc>
        <w:tc>
          <w:tcPr>
            <w:tcBorders>
              <w:top w:val="none" w:color="000000" w:sz="4" w:space="0"/>
              <w:left w:val="none" w:color="000000" w:sz="4" w:space="0"/>
              <w:bottom w:val="none" w:color="000000" w:sz="4" w:space="0"/>
              <w:right w:val="none" w:color="000000" w:sz="4" w:space="0"/>
            </w:tcBorders>
            <w:tcW w:w="284" w:type="dxa"/>
            <w:textDirection w:val="lrTb"/>
            <w:noWrap w:val="false"/>
          </w:tcPr>
          <w:p>
            <w:pPr>
              <w:ind w:firstLine="480"/>
              <w:spacing w:line="360" w:lineRule="auto"/>
              <w:rPr>
                <w:rFonts w:hint="eastAsia"/>
              </w:rPr>
            </w:pPr>
            <w:r>
              <w:rPr>
                <w:rFonts w:hint="eastAsia"/>
              </w:rPr>
            </w:r>
            <w:r/>
          </w:p>
        </w:tc>
        <w:tc>
          <w:tcPr>
            <w:tcBorders>
              <w:top w:val="none" w:color="000000" w:sz="4" w:space="0"/>
              <w:left w:val="none" w:color="000000" w:sz="4" w:space="0"/>
              <w:bottom w:val="none" w:color="000000" w:sz="4" w:space="0"/>
              <w:right w:val="none" w:color="000000" w:sz="4" w:space="0"/>
            </w:tcBorders>
            <w:tcW w:w="4536" w:type="dxa"/>
            <w:textDirection w:val="lrTb"/>
            <w:noWrap w:val="false"/>
          </w:tcPr>
          <w:p>
            <w:pPr>
              <w:ind w:firstLine="480"/>
              <w:spacing w:line="360" w:lineRule="auto"/>
              <w:rPr>
                <w:rFonts w:hint="eastAsia"/>
              </w:rPr>
            </w:pPr>
            <w:r>
              <w:rPr>
                <w:rFonts w:hint="eastAsia"/>
              </w:rPr>
              <w:t xml:space="preserve">地址：                              </w:t>
            </w:r>
            <w:r/>
          </w:p>
        </w:tc>
      </w:tr>
      <w:tr>
        <w:trPr>
          <w:jc w:val="center"/>
        </w:trPr>
        <w:tc>
          <w:tcPr>
            <w:tcBorders>
              <w:top w:val="none" w:color="000000" w:sz="4" w:space="0"/>
              <w:left w:val="none" w:color="000000" w:sz="4" w:space="0"/>
              <w:bottom w:val="none" w:color="000000" w:sz="4" w:space="0"/>
              <w:right w:val="none" w:color="000000" w:sz="4" w:space="0"/>
            </w:tcBorders>
            <w:tcW w:w="4536" w:type="dxa"/>
            <w:textDirection w:val="lrTb"/>
            <w:noWrap w:val="false"/>
          </w:tcPr>
          <w:p>
            <w:pPr>
              <w:ind w:firstLine="480"/>
              <w:spacing w:line="360" w:lineRule="auto"/>
              <w:rPr>
                <w:rFonts w:hint="eastAsia"/>
              </w:rPr>
            </w:pPr>
            <w:r>
              <w:rPr>
                <w:rFonts w:hint="eastAsia"/>
              </w:rPr>
              <w:t xml:space="preserve">法定（授权）代表人：                </w:t>
            </w:r>
            <w:r/>
          </w:p>
        </w:tc>
        <w:tc>
          <w:tcPr>
            <w:tcBorders>
              <w:top w:val="none" w:color="000000" w:sz="4" w:space="0"/>
              <w:left w:val="none" w:color="000000" w:sz="4" w:space="0"/>
              <w:bottom w:val="none" w:color="000000" w:sz="4" w:space="0"/>
              <w:right w:val="none" w:color="000000" w:sz="4" w:space="0"/>
            </w:tcBorders>
            <w:tcW w:w="284" w:type="dxa"/>
            <w:textDirection w:val="lrTb"/>
            <w:noWrap w:val="false"/>
          </w:tcPr>
          <w:p>
            <w:pPr>
              <w:ind w:firstLine="480"/>
              <w:spacing w:line="360" w:lineRule="auto"/>
              <w:rPr>
                <w:rFonts w:hint="eastAsia"/>
              </w:rPr>
            </w:pPr>
            <w:r>
              <w:rPr>
                <w:rFonts w:hint="eastAsia"/>
              </w:rPr>
            </w:r>
            <w:r/>
          </w:p>
        </w:tc>
        <w:tc>
          <w:tcPr>
            <w:tcBorders>
              <w:top w:val="none" w:color="000000" w:sz="4" w:space="0"/>
              <w:left w:val="none" w:color="000000" w:sz="4" w:space="0"/>
              <w:bottom w:val="none" w:color="000000" w:sz="4" w:space="0"/>
              <w:right w:val="none" w:color="000000" w:sz="4" w:space="0"/>
            </w:tcBorders>
            <w:tcW w:w="4536" w:type="dxa"/>
            <w:textDirection w:val="lrTb"/>
            <w:noWrap w:val="false"/>
          </w:tcPr>
          <w:p>
            <w:pPr>
              <w:ind w:firstLine="480"/>
              <w:spacing w:line="360" w:lineRule="auto"/>
              <w:rPr>
                <w:rFonts w:hint="eastAsia"/>
              </w:rPr>
            </w:pPr>
            <w:r>
              <w:rPr>
                <w:rFonts w:hint="eastAsia"/>
              </w:rPr>
              <w:t xml:space="preserve">法定（授权）代表人：                </w:t>
            </w:r>
            <w:r/>
          </w:p>
        </w:tc>
      </w:tr>
      <w:tr>
        <w:trPr>
          <w:jc w:val="center"/>
        </w:trPr>
        <w:tc>
          <w:tcPr>
            <w:tcBorders>
              <w:top w:val="none" w:color="000000" w:sz="4" w:space="0"/>
              <w:left w:val="none" w:color="000000" w:sz="4" w:space="0"/>
              <w:bottom w:val="none" w:color="000000" w:sz="4" w:space="0"/>
              <w:right w:val="none" w:color="000000" w:sz="4" w:space="0"/>
            </w:tcBorders>
            <w:tcW w:w="4536" w:type="dxa"/>
            <w:textDirection w:val="lrTb"/>
            <w:noWrap w:val="false"/>
          </w:tcPr>
          <w:p>
            <w:pPr>
              <w:ind w:firstLine="480"/>
              <w:spacing w:line="360" w:lineRule="auto"/>
              <w:rPr>
                <w:rFonts w:hint="eastAsia"/>
              </w:rPr>
            </w:pPr>
            <w:r>
              <w:rPr>
                <w:rFonts w:hint="eastAsia"/>
              </w:rPr>
              <w:t xml:space="preserve">　　　　　年　　　月　　　日</w:t>
            </w:r>
            <w:r/>
          </w:p>
        </w:tc>
        <w:tc>
          <w:tcPr>
            <w:tcBorders>
              <w:top w:val="none" w:color="000000" w:sz="4" w:space="0"/>
              <w:left w:val="none" w:color="000000" w:sz="4" w:space="0"/>
              <w:bottom w:val="none" w:color="000000" w:sz="4" w:space="0"/>
              <w:right w:val="none" w:color="000000" w:sz="4" w:space="0"/>
            </w:tcBorders>
            <w:tcW w:w="284" w:type="dxa"/>
            <w:textDirection w:val="lrTb"/>
            <w:noWrap w:val="false"/>
          </w:tcPr>
          <w:p>
            <w:pPr>
              <w:ind w:firstLine="480"/>
              <w:spacing w:line="360" w:lineRule="auto"/>
              <w:rPr>
                <w:rFonts w:hint="eastAsia"/>
              </w:rPr>
            </w:pPr>
            <w:r>
              <w:rPr>
                <w:rFonts w:hint="eastAsia"/>
              </w:rPr>
            </w:r>
            <w:r/>
          </w:p>
        </w:tc>
        <w:tc>
          <w:tcPr>
            <w:tcBorders>
              <w:top w:val="none" w:color="000000" w:sz="4" w:space="0"/>
              <w:left w:val="none" w:color="000000" w:sz="4" w:space="0"/>
              <w:bottom w:val="none" w:color="000000" w:sz="4" w:space="0"/>
              <w:right w:val="none" w:color="000000" w:sz="4" w:space="0"/>
            </w:tcBorders>
            <w:tcW w:w="4536" w:type="dxa"/>
            <w:textDirection w:val="lrTb"/>
            <w:noWrap w:val="false"/>
          </w:tcPr>
          <w:p>
            <w:pPr>
              <w:ind w:firstLine="480"/>
              <w:spacing w:line="360" w:lineRule="auto"/>
              <w:rPr>
                <w:rFonts w:hint="eastAsia"/>
              </w:rPr>
            </w:pPr>
            <w:r>
              <w:rPr>
                <w:rFonts w:hint="eastAsia"/>
              </w:rPr>
              <w:t xml:space="preserve">　　　　　年　　　月　　　日</w:t>
            </w:r>
            <w:bookmarkEnd w:id="455"/>
            <w:r/>
          </w:p>
        </w:tc>
      </w:tr>
      <w:tr>
        <w:trPr>
          <w:jc w:val="center"/>
        </w:trPr>
        <w:tc>
          <w:tcPr>
            <w:gridSpan w:val="3"/>
            <w:tcBorders>
              <w:top w:val="none" w:color="000000" w:sz="4" w:space="0"/>
              <w:left w:val="none" w:color="000000" w:sz="4" w:space="0"/>
              <w:bottom w:val="none" w:color="000000" w:sz="4" w:space="0"/>
              <w:right w:val="none" w:color="000000" w:sz="4" w:space="0"/>
            </w:tcBorders>
            <w:tcW w:w="9356" w:type="dxa"/>
            <w:textDirection w:val="lrTb"/>
            <w:noWrap w:val="false"/>
          </w:tcPr>
          <w:p>
            <w:pPr>
              <w:ind w:firstLine="960"/>
              <w:spacing w:line="360" w:lineRule="auto"/>
              <w:rPr>
                <w:rFonts w:hint="eastAsia"/>
              </w:rPr>
            </w:pPr>
            <w:r>
              <w:rPr>
                <w:rFonts w:hint="eastAsia"/>
              </w:rPr>
            </w:r>
            <w:r/>
          </w:p>
        </w:tc>
      </w:tr>
    </w:tbl>
    <w:p>
      <w:pPr>
        <w:rPr>
          <w:rFonts w:hint="eastAsia"/>
          <w:b/>
          <w:sz w:val="36"/>
          <w:szCs w:val="36"/>
        </w:rPr>
      </w:pPr>
      <w:r>
        <w:rPr>
          <w:b/>
          <w:sz w:val="36"/>
          <w:szCs w:val="36"/>
        </w:rPr>
        <w:br w:type="page" w:clear="all"/>
      </w:r>
      <w:r/>
    </w:p>
    <w:p>
      <w:pPr>
        <w:pStyle w:val="907"/>
        <w:rPr>
          <w:rFonts w:hint="eastAsia" w:ascii="宋体" w:hAnsi="宋体"/>
          <w:color w:val="auto"/>
        </w:rPr>
        <w:sectPr>
          <w:footnotePr/>
          <w:endnotePr/>
          <w:type w:val="nextPage"/>
          <w:pgSz w:w="11906" w:h="16838" w:orient="portrait"/>
          <w:pgMar w:top="1440" w:right="1080" w:bottom="1440" w:left="1080" w:header="851" w:footer="992" w:gutter="0"/>
          <w:cols w:num="1" w:sep="0" w:space="720" w:equalWidth="1"/>
          <w:docGrid w:linePitch="360"/>
        </w:sectPr>
      </w:pPr>
      <w:r>
        <w:rPr>
          <w:rFonts w:hint="eastAsia" w:ascii="宋体" w:hAnsi="宋体"/>
          <w:color w:val="auto"/>
        </w:rPr>
      </w:r>
      <w:r/>
    </w:p>
    <w:p>
      <w:pPr>
        <w:jc w:val="center"/>
        <w:spacing w:line="360" w:lineRule="auto"/>
        <w:rPr>
          <w:rFonts w:hint="eastAsia"/>
          <w:b/>
          <w:sz w:val="36"/>
          <w:szCs w:val="36"/>
        </w:rPr>
        <w:outlineLvl w:val="0"/>
      </w:pPr>
      <w:r/>
      <w:bookmarkStart w:id="472" w:name="_Toc152683409"/>
      <w:r/>
      <w:bookmarkStart w:id="473" w:name="_Toc197636633"/>
      <w:r/>
      <w:bookmarkStart w:id="474" w:name="_Toc99301426"/>
      <w:r/>
      <w:bookmarkEnd w:id="456"/>
      <w:r>
        <w:rPr>
          <w:b/>
          <w:sz w:val="36"/>
          <w:szCs w:val="36"/>
        </w:rPr>
        <w:t xml:space="preserve">第七章</w:t>
      </w:r>
      <w:r>
        <w:rPr>
          <w:rFonts w:hint="eastAsia"/>
          <w:b/>
          <w:sz w:val="36"/>
          <w:szCs w:val="36"/>
        </w:rPr>
        <w:t xml:space="preserve">   投标文件的组成及提交须知</w:t>
      </w:r>
      <w:bookmarkEnd w:id="472"/>
      <w:r/>
      <w:bookmarkEnd w:id="473"/>
      <w:r/>
      <w:r/>
    </w:p>
    <w:tbl>
      <w:tblPr>
        <w:tblW w:w="102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150"/>
        <w:gridCol w:w="2360"/>
        <w:gridCol w:w="6691"/>
      </w:tblGrid>
      <w:tr>
        <w:trPr>
          <w:jc w:val="center"/>
          <w:trHeight w:val="170"/>
        </w:trPr>
        <w:tc>
          <w:tcPr>
            <w:tcBorders>
              <w:top w:val="single" w:color="auto" w:sz="4" w:space="0"/>
              <w:left w:val="single" w:color="auto" w:sz="4" w:space="0"/>
              <w:bottom w:val="single" w:color="auto" w:sz="4" w:space="0"/>
              <w:right w:val="single" w:color="auto" w:sz="4" w:space="0"/>
            </w:tcBorders>
            <w:tcW w:w="1150" w:type="dxa"/>
            <w:textDirection w:val="lrTb"/>
            <w:noWrap w:val="false"/>
          </w:tcPr>
          <w:p>
            <w:pPr>
              <w:jc w:val="center"/>
              <w:rPr>
                <w:rFonts w:hint="eastAsia"/>
                <w:b/>
                <w:sz w:val="22"/>
                <w:szCs w:val="22"/>
              </w:rPr>
            </w:pPr>
            <w:r/>
            <w:bookmarkStart w:id="475" w:name="_Toc86202633"/>
            <w:r>
              <w:rPr>
                <w:rFonts w:hint="eastAsia"/>
                <w:b/>
                <w:sz w:val="22"/>
                <w:szCs w:val="22"/>
              </w:rPr>
              <w:t xml:space="preserve">名称</w:t>
            </w:r>
            <w:bookmarkEnd w:id="475"/>
            <w:r/>
            <w:r/>
          </w:p>
        </w:tc>
        <w:tc>
          <w:tcPr>
            <w:tcBorders>
              <w:top w:val="single" w:color="auto" w:sz="4" w:space="0"/>
              <w:left w:val="none" w:color="000000" w:sz="4" w:space="0"/>
              <w:bottom w:val="single" w:color="auto" w:sz="4" w:space="0"/>
              <w:right w:val="single" w:color="auto" w:sz="4" w:space="0"/>
            </w:tcBorders>
            <w:tcW w:w="2360" w:type="dxa"/>
            <w:textDirection w:val="lrTb"/>
            <w:noWrap w:val="false"/>
          </w:tcPr>
          <w:p>
            <w:pPr>
              <w:jc w:val="center"/>
              <w:rPr>
                <w:rFonts w:hint="eastAsia"/>
                <w:b/>
                <w:sz w:val="22"/>
                <w:szCs w:val="22"/>
              </w:rPr>
            </w:pPr>
            <w:r>
              <w:rPr>
                <w:rFonts w:hint="eastAsia"/>
                <w:b/>
                <w:sz w:val="22"/>
                <w:szCs w:val="22"/>
              </w:rPr>
              <w:t xml:space="preserve">类别</w:t>
            </w:r>
            <w:r/>
          </w:p>
        </w:tc>
        <w:tc>
          <w:tcPr>
            <w:tcBorders>
              <w:top w:val="single" w:color="auto" w:sz="4" w:space="0"/>
              <w:left w:val="none" w:color="000000" w:sz="4" w:space="0"/>
              <w:bottom w:val="single" w:color="auto" w:sz="4" w:space="0"/>
              <w:right w:val="single" w:color="auto" w:sz="4" w:space="0"/>
            </w:tcBorders>
            <w:tcW w:w="6691" w:type="dxa"/>
            <w:textDirection w:val="lrTb"/>
            <w:noWrap w:val="false"/>
          </w:tcPr>
          <w:p>
            <w:pPr>
              <w:jc w:val="center"/>
              <w:rPr>
                <w:rFonts w:hint="eastAsia"/>
                <w:b/>
                <w:sz w:val="22"/>
                <w:szCs w:val="22"/>
              </w:rPr>
            </w:pPr>
            <w:r>
              <w:rPr>
                <w:rFonts w:hint="eastAsia"/>
                <w:b/>
                <w:sz w:val="22"/>
                <w:szCs w:val="22"/>
              </w:rPr>
              <w:t xml:space="preserve">相应内容</w:t>
            </w:r>
            <w:r/>
          </w:p>
        </w:tc>
      </w:tr>
      <w:tr>
        <w:trPr>
          <w:jc w:val="center"/>
          <w:trHeight w:val="170"/>
        </w:trPr>
        <w:tc>
          <w:tcPr>
            <w:tcBorders>
              <w:top w:val="none" w:color="000000" w:sz="4" w:space="0"/>
              <w:left w:val="single" w:color="auto" w:sz="4" w:space="0"/>
              <w:right w:val="single" w:color="auto" w:sz="4" w:space="0"/>
            </w:tcBorders>
            <w:tcW w:w="1150" w:type="dxa"/>
            <w:vAlign w:val="center"/>
            <w:vMerge w:val="restart"/>
            <w:textDirection w:val="lrTb"/>
            <w:noWrap w:val="false"/>
          </w:tcPr>
          <w:p>
            <w:pPr>
              <w:ind w:left="221" w:hanging="221"/>
              <w:rPr>
                <w:rFonts w:hint="eastAsia"/>
                <w:sz w:val="22"/>
                <w:szCs w:val="22"/>
              </w:rPr>
            </w:pPr>
            <w:r>
              <w:rPr>
                <w:rFonts w:hint="eastAsia"/>
                <w:b/>
                <w:sz w:val="22"/>
                <w:szCs w:val="22"/>
              </w:rPr>
              <w:t xml:space="preserve">投标文件组 成</w:t>
            </w:r>
            <w:r/>
          </w:p>
        </w:tc>
        <w:tc>
          <w:tcPr>
            <w:tcBorders>
              <w:top w:val="single" w:color="auto" w:sz="4" w:space="0"/>
              <w:left w:val="none" w:color="000000" w:sz="4" w:space="0"/>
              <w:right w:val="single" w:color="auto" w:sz="4" w:space="0"/>
            </w:tcBorders>
            <w:tcW w:w="2360" w:type="dxa"/>
            <w:vAlign w:val="center"/>
            <w:vMerge w:val="restart"/>
            <w:textDirection w:val="lrTb"/>
            <w:noWrap w:val="false"/>
          </w:tcPr>
          <w:p>
            <w:pPr>
              <w:jc w:val="center"/>
              <w:rPr>
                <w:rFonts w:hint="eastAsia"/>
                <w:b/>
                <w:bCs/>
                <w:sz w:val="22"/>
                <w:szCs w:val="22"/>
              </w:rPr>
            </w:pPr>
            <w:r>
              <w:rPr>
                <w:rFonts w:hint="eastAsia"/>
                <w:b/>
                <w:bCs/>
                <w:sz w:val="22"/>
                <w:szCs w:val="22"/>
              </w:rPr>
              <w:t xml:space="preserve">投标文件格式材料</w:t>
            </w:r>
            <w:r/>
          </w:p>
        </w:tc>
        <w:tc>
          <w:tcPr>
            <w:tcBorders>
              <w:top w:val="single" w:color="auto" w:sz="4" w:space="0"/>
              <w:left w:val="none" w:color="000000" w:sz="4" w:space="0"/>
              <w:bottom w:val="single" w:color="auto" w:sz="4" w:space="0"/>
              <w:right w:val="single" w:color="auto" w:sz="4" w:space="0"/>
            </w:tcBorders>
            <w:tcW w:w="6691" w:type="dxa"/>
            <w:vAlign w:val="center"/>
            <w:textDirection w:val="lrTb"/>
            <w:noWrap w:val="false"/>
          </w:tcPr>
          <w:p>
            <w:pPr>
              <w:rPr>
                <w:rFonts w:hint="eastAsia"/>
                <w:sz w:val="22"/>
                <w:szCs w:val="22"/>
              </w:rPr>
            </w:pPr>
            <w:r>
              <w:rPr>
                <w:rFonts w:hint="eastAsia"/>
                <w:sz w:val="22"/>
                <w:szCs w:val="22"/>
              </w:rPr>
              <w:t xml:space="preserve">投标文件封面</w:t>
            </w:r>
            <w:r/>
          </w:p>
        </w:tc>
      </w:tr>
      <w:tr>
        <w:trPr>
          <w:jc w:val="center"/>
          <w:trHeight w:val="170"/>
        </w:trPr>
        <w:tc>
          <w:tcPr>
            <w:tcBorders>
              <w:left w:val="single" w:color="auto" w:sz="4" w:space="0"/>
              <w:right w:val="single" w:color="auto" w:sz="4" w:space="0"/>
            </w:tcBorders>
            <w:tcW w:w="1150" w:type="dxa"/>
            <w:vAlign w:val="center"/>
            <w:vMerge w:val="continue"/>
            <w:textDirection w:val="lrTb"/>
            <w:noWrap w:val="false"/>
          </w:tcPr>
          <w:p>
            <w:pPr>
              <w:rPr>
                <w:rFonts w:hint="eastAsia"/>
                <w:sz w:val="22"/>
                <w:szCs w:val="22"/>
              </w:rPr>
            </w:pPr>
            <w:r>
              <w:rPr>
                <w:rFonts w:hint="eastAsia"/>
                <w:sz w:val="22"/>
                <w:szCs w:val="22"/>
              </w:rPr>
            </w:r>
            <w:r/>
          </w:p>
        </w:tc>
        <w:tc>
          <w:tcPr>
            <w:tcBorders>
              <w:left w:val="none" w:color="000000" w:sz="4" w:space="0"/>
              <w:right w:val="single" w:color="auto" w:sz="4" w:space="0"/>
            </w:tcBorders>
            <w:tcW w:w="2360" w:type="dxa"/>
            <w:vMerge w:val="continue"/>
            <w:textDirection w:val="lrTb"/>
            <w:noWrap w:val="false"/>
          </w:tcPr>
          <w:p>
            <w:pPr>
              <w:rPr>
                <w:rFonts w:hint="eastAsia"/>
                <w:b/>
                <w:bCs/>
                <w:sz w:val="22"/>
                <w:szCs w:val="22"/>
              </w:rPr>
            </w:pPr>
            <w:r>
              <w:rPr>
                <w:rFonts w:hint="eastAsia"/>
                <w:b/>
                <w:bCs/>
                <w:sz w:val="22"/>
                <w:szCs w:val="22"/>
              </w:rPr>
            </w:r>
            <w:r/>
          </w:p>
        </w:tc>
        <w:tc>
          <w:tcPr>
            <w:tcBorders>
              <w:top w:val="single" w:color="auto" w:sz="4" w:space="0"/>
              <w:left w:val="none" w:color="000000" w:sz="4" w:space="0"/>
              <w:bottom w:val="single" w:color="auto" w:sz="4" w:space="0"/>
              <w:right w:val="single" w:color="auto" w:sz="4" w:space="0"/>
            </w:tcBorders>
            <w:tcW w:w="6691" w:type="dxa"/>
            <w:vAlign w:val="center"/>
            <w:textDirection w:val="lrTb"/>
            <w:noWrap w:val="false"/>
          </w:tcPr>
          <w:p>
            <w:pPr>
              <w:rPr>
                <w:rFonts w:hint="eastAsia"/>
                <w:sz w:val="22"/>
                <w:szCs w:val="22"/>
              </w:rPr>
            </w:pPr>
            <w:r>
              <w:rPr>
                <w:rFonts w:hint="eastAsia"/>
                <w:sz w:val="22"/>
                <w:szCs w:val="22"/>
              </w:rPr>
              <w:t xml:space="preserve">*开标一览表</w:t>
            </w:r>
            <w:r/>
          </w:p>
        </w:tc>
      </w:tr>
      <w:tr>
        <w:trPr>
          <w:jc w:val="center"/>
          <w:trHeight w:val="170"/>
        </w:trPr>
        <w:tc>
          <w:tcPr>
            <w:tcBorders>
              <w:left w:val="single" w:color="auto" w:sz="4" w:space="0"/>
              <w:right w:val="single" w:color="auto" w:sz="4" w:space="0"/>
            </w:tcBorders>
            <w:tcW w:w="1150" w:type="dxa"/>
            <w:vAlign w:val="center"/>
            <w:vMerge w:val="continue"/>
            <w:textDirection w:val="lrTb"/>
            <w:noWrap w:val="false"/>
          </w:tcPr>
          <w:p>
            <w:pPr>
              <w:rPr>
                <w:rFonts w:hint="eastAsia"/>
                <w:sz w:val="22"/>
                <w:szCs w:val="22"/>
              </w:rPr>
            </w:pPr>
            <w:r>
              <w:rPr>
                <w:rFonts w:hint="eastAsia"/>
                <w:sz w:val="22"/>
                <w:szCs w:val="22"/>
              </w:rPr>
            </w:r>
            <w:r/>
          </w:p>
        </w:tc>
        <w:tc>
          <w:tcPr>
            <w:tcBorders>
              <w:left w:val="none" w:color="000000" w:sz="4" w:space="0"/>
              <w:right w:val="single" w:color="auto" w:sz="4" w:space="0"/>
            </w:tcBorders>
            <w:tcW w:w="2360" w:type="dxa"/>
            <w:vMerge w:val="continue"/>
            <w:textDirection w:val="lrTb"/>
            <w:noWrap w:val="false"/>
          </w:tcPr>
          <w:p>
            <w:pPr>
              <w:rPr>
                <w:rFonts w:hint="eastAsia"/>
                <w:b/>
                <w:bCs/>
                <w:sz w:val="22"/>
                <w:szCs w:val="22"/>
              </w:rPr>
            </w:pPr>
            <w:r>
              <w:rPr>
                <w:rFonts w:hint="eastAsia"/>
                <w:b/>
                <w:bCs/>
                <w:sz w:val="22"/>
                <w:szCs w:val="22"/>
              </w:rPr>
            </w:r>
            <w:r/>
          </w:p>
        </w:tc>
        <w:tc>
          <w:tcPr>
            <w:tcBorders>
              <w:top w:val="single" w:color="auto" w:sz="4" w:space="0"/>
              <w:left w:val="none" w:color="000000" w:sz="4" w:space="0"/>
              <w:bottom w:val="single" w:color="auto" w:sz="4" w:space="0"/>
              <w:right w:val="single" w:color="auto" w:sz="4" w:space="0"/>
            </w:tcBorders>
            <w:tcW w:w="6691" w:type="dxa"/>
            <w:vAlign w:val="center"/>
            <w:textDirection w:val="lrTb"/>
            <w:noWrap w:val="false"/>
          </w:tcPr>
          <w:p>
            <w:pPr>
              <w:rPr>
                <w:rFonts w:hint="eastAsia"/>
                <w:sz w:val="22"/>
                <w:szCs w:val="22"/>
              </w:rPr>
            </w:pPr>
            <w:r>
              <w:rPr>
                <w:sz w:val="22"/>
                <w:szCs w:val="22"/>
              </w:rPr>
              <w:t xml:space="preserve">中小企业声明函</w:t>
            </w:r>
            <w:r>
              <w:rPr>
                <w:rFonts w:hint="eastAsia"/>
                <w:sz w:val="22"/>
                <w:szCs w:val="22"/>
              </w:rPr>
              <w:t xml:space="preserve">（或</w:t>
            </w:r>
            <w:r>
              <w:rPr>
                <w:sz w:val="22"/>
                <w:szCs w:val="22"/>
              </w:rPr>
              <w:t xml:space="preserve">监狱企业证明或残疾人福利性单位声明函</w:t>
            </w:r>
            <w:r>
              <w:rPr>
                <w:rFonts w:hint="eastAsia"/>
                <w:sz w:val="22"/>
                <w:szCs w:val="22"/>
              </w:rPr>
              <w:t xml:space="preserve">）</w:t>
            </w:r>
            <w:r/>
          </w:p>
        </w:tc>
      </w:tr>
      <w:tr>
        <w:trPr>
          <w:jc w:val="center"/>
          <w:trHeight w:val="170"/>
        </w:trPr>
        <w:tc>
          <w:tcPr>
            <w:tcBorders>
              <w:left w:val="single" w:color="auto" w:sz="4" w:space="0"/>
              <w:right w:val="single" w:color="auto" w:sz="4" w:space="0"/>
            </w:tcBorders>
            <w:tcW w:w="1150" w:type="dxa"/>
            <w:vAlign w:val="center"/>
            <w:vMerge w:val="continue"/>
            <w:textDirection w:val="lrTb"/>
            <w:noWrap w:val="false"/>
          </w:tcPr>
          <w:p>
            <w:pPr>
              <w:rPr>
                <w:rFonts w:hint="eastAsia"/>
                <w:sz w:val="22"/>
                <w:szCs w:val="22"/>
              </w:rPr>
            </w:pPr>
            <w:r>
              <w:rPr>
                <w:rFonts w:hint="eastAsia"/>
                <w:sz w:val="22"/>
                <w:szCs w:val="22"/>
              </w:rPr>
            </w:r>
            <w:r/>
          </w:p>
        </w:tc>
        <w:tc>
          <w:tcPr>
            <w:tcBorders>
              <w:left w:val="none" w:color="000000" w:sz="4" w:space="0"/>
              <w:right w:val="single" w:color="auto" w:sz="4" w:space="0"/>
            </w:tcBorders>
            <w:tcW w:w="2360" w:type="dxa"/>
            <w:vMerge w:val="continue"/>
            <w:textDirection w:val="lrTb"/>
            <w:noWrap w:val="false"/>
          </w:tcPr>
          <w:p>
            <w:pPr>
              <w:rPr>
                <w:rFonts w:hint="eastAsia"/>
                <w:b/>
                <w:bCs/>
                <w:sz w:val="22"/>
                <w:szCs w:val="22"/>
              </w:rPr>
            </w:pPr>
            <w:r>
              <w:rPr>
                <w:rFonts w:hint="eastAsia"/>
                <w:b/>
                <w:bCs/>
                <w:sz w:val="22"/>
                <w:szCs w:val="22"/>
              </w:rPr>
            </w:r>
            <w:r/>
          </w:p>
        </w:tc>
        <w:tc>
          <w:tcPr>
            <w:tcBorders>
              <w:top w:val="single" w:color="auto" w:sz="4" w:space="0"/>
              <w:left w:val="none" w:color="000000" w:sz="4" w:space="0"/>
              <w:bottom w:val="single" w:color="auto" w:sz="4" w:space="0"/>
              <w:right w:val="single" w:color="auto" w:sz="4" w:space="0"/>
            </w:tcBorders>
            <w:tcW w:w="6691" w:type="dxa"/>
            <w:vAlign w:val="center"/>
            <w:textDirection w:val="lrTb"/>
            <w:noWrap w:val="false"/>
          </w:tcPr>
          <w:p>
            <w:pPr>
              <w:rPr>
                <w:rFonts w:hint="eastAsia"/>
                <w:sz w:val="22"/>
                <w:szCs w:val="22"/>
              </w:rPr>
            </w:pPr>
            <w:r>
              <w:rPr>
                <w:rFonts w:hint="eastAsia"/>
                <w:sz w:val="22"/>
                <w:szCs w:val="22"/>
              </w:rPr>
              <w:t xml:space="preserve">项目实施方案</w:t>
            </w:r>
            <w:r/>
          </w:p>
        </w:tc>
      </w:tr>
      <w:tr>
        <w:trPr>
          <w:jc w:val="center"/>
          <w:trHeight w:val="170"/>
        </w:trPr>
        <w:tc>
          <w:tcPr>
            <w:tcBorders>
              <w:left w:val="single" w:color="auto" w:sz="4" w:space="0"/>
              <w:right w:val="single" w:color="auto" w:sz="4" w:space="0"/>
            </w:tcBorders>
            <w:tcW w:w="1150" w:type="dxa"/>
            <w:vAlign w:val="center"/>
            <w:vMerge w:val="continue"/>
            <w:textDirection w:val="lrTb"/>
            <w:noWrap w:val="false"/>
          </w:tcPr>
          <w:p>
            <w:pPr>
              <w:rPr>
                <w:rFonts w:hint="eastAsia"/>
                <w:sz w:val="22"/>
                <w:szCs w:val="22"/>
              </w:rPr>
            </w:pPr>
            <w:r>
              <w:rPr>
                <w:rFonts w:hint="eastAsia"/>
                <w:sz w:val="22"/>
                <w:szCs w:val="22"/>
              </w:rPr>
            </w:r>
            <w:r/>
          </w:p>
        </w:tc>
        <w:tc>
          <w:tcPr>
            <w:tcBorders>
              <w:left w:val="none" w:color="000000" w:sz="4" w:space="0"/>
              <w:right w:val="single" w:color="auto" w:sz="4" w:space="0"/>
            </w:tcBorders>
            <w:tcW w:w="2360" w:type="dxa"/>
            <w:vMerge w:val="continue"/>
            <w:textDirection w:val="lrTb"/>
            <w:noWrap w:val="false"/>
          </w:tcPr>
          <w:p>
            <w:pPr>
              <w:rPr>
                <w:rFonts w:hint="eastAsia"/>
                <w:b/>
                <w:bCs/>
                <w:sz w:val="22"/>
                <w:szCs w:val="22"/>
              </w:rPr>
            </w:pPr>
            <w:r>
              <w:rPr>
                <w:rFonts w:hint="eastAsia"/>
                <w:b/>
                <w:bCs/>
                <w:sz w:val="22"/>
                <w:szCs w:val="22"/>
              </w:rPr>
            </w:r>
            <w:r/>
          </w:p>
        </w:tc>
        <w:tc>
          <w:tcPr>
            <w:tcBorders>
              <w:top w:val="single" w:color="auto" w:sz="4" w:space="0"/>
              <w:left w:val="none" w:color="000000" w:sz="4" w:space="0"/>
              <w:bottom w:val="single" w:color="auto" w:sz="4" w:space="0"/>
              <w:right w:val="single" w:color="auto" w:sz="4" w:space="0"/>
            </w:tcBorders>
            <w:tcW w:w="6691" w:type="dxa"/>
            <w:vAlign w:val="center"/>
            <w:textDirection w:val="lrTb"/>
            <w:noWrap w:val="false"/>
          </w:tcPr>
          <w:p>
            <w:pPr>
              <w:rPr>
                <w:rFonts w:hint="eastAsia"/>
                <w:sz w:val="22"/>
                <w:szCs w:val="22"/>
              </w:rPr>
            </w:pPr>
            <w:r>
              <w:rPr>
                <w:rFonts w:hint="eastAsia"/>
                <w:sz w:val="22"/>
                <w:szCs w:val="22"/>
              </w:rPr>
              <w:t xml:space="preserve">基本服务承诺书</w:t>
            </w:r>
            <w:r/>
          </w:p>
        </w:tc>
      </w:tr>
      <w:tr>
        <w:trPr>
          <w:jc w:val="center"/>
          <w:trHeight w:val="170"/>
        </w:trPr>
        <w:tc>
          <w:tcPr>
            <w:tcBorders>
              <w:left w:val="single" w:color="auto" w:sz="4" w:space="0"/>
              <w:right w:val="single" w:color="auto" w:sz="4" w:space="0"/>
            </w:tcBorders>
            <w:tcW w:w="1150" w:type="dxa"/>
            <w:vAlign w:val="center"/>
            <w:vMerge w:val="continue"/>
            <w:textDirection w:val="lrTb"/>
            <w:noWrap w:val="false"/>
          </w:tcPr>
          <w:p>
            <w:pPr>
              <w:rPr>
                <w:rFonts w:hint="eastAsia"/>
                <w:sz w:val="22"/>
                <w:szCs w:val="22"/>
              </w:rPr>
            </w:pPr>
            <w:r>
              <w:rPr>
                <w:rFonts w:hint="eastAsia"/>
                <w:sz w:val="22"/>
                <w:szCs w:val="22"/>
              </w:rPr>
            </w:r>
            <w:r/>
          </w:p>
        </w:tc>
        <w:tc>
          <w:tcPr>
            <w:tcBorders>
              <w:left w:val="none" w:color="000000" w:sz="4" w:space="0"/>
              <w:right w:val="single" w:color="auto" w:sz="4" w:space="0"/>
            </w:tcBorders>
            <w:tcW w:w="2360" w:type="dxa"/>
            <w:vMerge w:val="continue"/>
            <w:textDirection w:val="lrTb"/>
            <w:noWrap w:val="false"/>
          </w:tcPr>
          <w:p>
            <w:pPr>
              <w:rPr>
                <w:rFonts w:hint="eastAsia"/>
                <w:b/>
                <w:bCs/>
                <w:sz w:val="22"/>
                <w:szCs w:val="22"/>
              </w:rPr>
            </w:pPr>
            <w:r>
              <w:rPr>
                <w:rFonts w:hint="eastAsia"/>
                <w:b/>
                <w:bCs/>
                <w:sz w:val="22"/>
                <w:szCs w:val="22"/>
              </w:rPr>
            </w:r>
            <w:r/>
          </w:p>
        </w:tc>
        <w:tc>
          <w:tcPr>
            <w:tcBorders>
              <w:top w:val="single" w:color="auto" w:sz="4" w:space="0"/>
              <w:left w:val="none" w:color="000000" w:sz="4" w:space="0"/>
              <w:bottom w:val="single" w:color="auto" w:sz="4" w:space="0"/>
              <w:right w:val="single" w:color="auto" w:sz="4" w:space="0"/>
            </w:tcBorders>
            <w:tcW w:w="6691" w:type="dxa"/>
            <w:vAlign w:val="center"/>
            <w:textDirection w:val="lrTb"/>
            <w:noWrap w:val="false"/>
          </w:tcPr>
          <w:p>
            <w:pPr>
              <w:rPr>
                <w:rFonts w:hint="eastAsia"/>
                <w:sz w:val="22"/>
                <w:szCs w:val="22"/>
              </w:rPr>
            </w:pPr>
            <w:r>
              <w:rPr>
                <w:rFonts w:hint="eastAsia"/>
                <w:sz w:val="22"/>
                <w:szCs w:val="22"/>
              </w:rPr>
              <w:t xml:space="preserve">认为需要提供的其他证明材料</w:t>
            </w:r>
            <w:r/>
          </w:p>
        </w:tc>
      </w:tr>
      <w:tr>
        <w:trPr>
          <w:jc w:val="center"/>
          <w:trHeight w:val="170"/>
        </w:trPr>
        <w:tc>
          <w:tcPr>
            <w:tcBorders>
              <w:left w:val="single" w:color="auto" w:sz="4" w:space="0"/>
              <w:right w:val="single" w:color="auto" w:sz="4" w:space="0"/>
            </w:tcBorders>
            <w:tcW w:w="1150" w:type="dxa"/>
            <w:vAlign w:val="center"/>
            <w:vMerge w:val="continue"/>
            <w:textDirection w:val="lrTb"/>
            <w:noWrap w:val="false"/>
          </w:tcPr>
          <w:p>
            <w:pPr>
              <w:rPr>
                <w:rFonts w:hint="eastAsia"/>
                <w:sz w:val="22"/>
                <w:szCs w:val="22"/>
              </w:rPr>
            </w:pPr>
            <w:r>
              <w:rPr>
                <w:rFonts w:hint="eastAsia"/>
                <w:sz w:val="22"/>
                <w:szCs w:val="22"/>
              </w:rPr>
            </w:r>
            <w:r/>
          </w:p>
        </w:tc>
        <w:tc>
          <w:tcPr>
            <w:tcBorders>
              <w:top w:val="single" w:color="auto" w:sz="4" w:space="0"/>
              <w:left w:val="none" w:color="000000" w:sz="4" w:space="0"/>
              <w:right w:val="single" w:color="auto" w:sz="4" w:space="0"/>
            </w:tcBorders>
            <w:tcW w:w="2360" w:type="dxa"/>
            <w:vAlign w:val="center"/>
            <w:vMerge w:val="restart"/>
            <w:textDirection w:val="lrTb"/>
            <w:noWrap w:val="false"/>
          </w:tcPr>
          <w:p>
            <w:pPr>
              <w:jc w:val="center"/>
              <w:rPr>
                <w:rFonts w:hint="eastAsia"/>
                <w:b/>
                <w:bCs/>
                <w:sz w:val="22"/>
                <w:szCs w:val="22"/>
              </w:rPr>
            </w:pPr>
            <w:r>
              <w:rPr>
                <w:rFonts w:hint="eastAsia"/>
                <w:b/>
                <w:bCs/>
                <w:sz w:val="22"/>
                <w:szCs w:val="22"/>
              </w:rPr>
              <w:t xml:space="preserve">资性证明文件格式材料</w:t>
            </w:r>
            <w:r/>
          </w:p>
        </w:tc>
        <w:tc>
          <w:tcPr>
            <w:tcBorders>
              <w:top w:val="single" w:color="auto" w:sz="4" w:space="0"/>
              <w:left w:val="none" w:color="000000" w:sz="4" w:space="0"/>
              <w:bottom w:val="single" w:color="auto" w:sz="4" w:space="0"/>
              <w:right w:val="single" w:color="auto" w:sz="4" w:space="0"/>
            </w:tcBorders>
            <w:tcW w:w="6691" w:type="dxa"/>
            <w:vAlign w:val="center"/>
            <w:textDirection w:val="lrTb"/>
            <w:noWrap w:val="false"/>
          </w:tcPr>
          <w:p>
            <w:pPr>
              <w:rPr>
                <w:rFonts w:hint="eastAsia"/>
                <w:sz w:val="22"/>
                <w:szCs w:val="22"/>
              </w:rPr>
            </w:pPr>
            <w:r>
              <w:rPr>
                <w:rFonts w:hint="eastAsia"/>
                <w:sz w:val="22"/>
                <w:szCs w:val="22"/>
              </w:rPr>
              <w:t xml:space="preserve">△营业执照或事业单位法人证书</w:t>
            </w:r>
            <w:r/>
          </w:p>
        </w:tc>
      </w:tr>
      <w:tr>
        <w:trPr>
          <w:jc w:val="center"/>
          <w:trHeight w:val="170"/>
        </w:trPr>
        <w:tc>
          <w:tcPr>
            <w:tcBorders>
              <w:left w:val="single" w:color="auto" w:sz="4" w:space="0"/>
              <w:right w:val="single" w:color="auto" w:sz="4" w:space="0"/>
            </w:tcBorders>
            <w:tcW w:w="1150" w:type="dxa"/>
            <w:vAlign w:val="center"/>
            <w:vMerge w:val="continue"/>
            <w:textDirection w:val="lrTb"/>
            <w:noWrap w:val="false"/>
          </w:tcPr>
          <w:p>
            <w:pPr>
              <w:rPr>
                <w:rFonts w:hint="eastAsia"/>
                <w:sz w:val="22"/>
                <w:szCs w:val="22"/>
              </w:rPr>
            </w:pPr>
            <w:r>
              <w:rPr>
                <w:rFonts w:hint="eastAsia"/>
                <w:sz w:val="22"/>
                <w:szCs w:val="22"/>
              </w:rPr>
            </w:r>
            <w:r/>
          </w:p>
        </w:tc>
        <w:tc>
          <w:tcPr>
            <w:tcBorders>
              <w:left w:val="none" w:color="000000" w:sz="4" w:space="0"/>
              <w:right w:val="single" w:color="auto" w:sz="4" w:space="0"/>
            </w:tcBorders>
            <w:tcW w:w="2360" w:type="dxa"/>
            <w:vMerge w:val="continue"/>
            <w:textDirection w:val="lrTb"/>
            <w:noWrap w:val="false"/>
          </w:tcPr>
          <w:p>
            <w:pPr>
              <w:jc w:val="center"/>
              <w:rPr>
                <w:rFonts w:hint="eastAsia"/>
                <w:b/>
                <w:bCs/>
                <w:sz w:val="22"/>
                <w:szCs w:val="22"/>
              </w:rPr>
            </w:pPr>
            <w:r>
              <w:rPr>
                <w:rFonts w:hint="eastAsia"/>
                <w:b/>
                <w:bCs/>
                <w:sz w:val="22"/>
                <w:szCs w:val="22"/>
              </w:rPr>
            </w:r>
            <w:r/>
          </w:p>
        </w:tc>
        <w:tc>
          <w:tcPr>
            <w:tcBorders>
              <w:top w:val="single" w:color="auto" w:sz="4" w:space="0"/>
              <w:left w:val="none" w:color="000000" w:sz="4" w:space="0"/>
              <w:bottom w:val="single" w:color="auto" w:sz="4" w:space="0"/>
              <w:right w:val="single" w:color="auto" w:sz="4" w:space="0"/>
            </w:tcBorders>
            <w:tcW w:w="6691" w:type="dxa"/>
            <w:vAlign w:val="center"/>
            <w:textDirection w:val="lrTb"/>
            <w:noWrap w:val="false"/>
          </w:tcPr>
          <w:p>
            <w:pPr>
              <w:rPr>
                <w:rFonts w:hint="eastAsia"/>
                <w:b/>
                <w:bCs/>
                <w:sz w:val="22"/>
                <w:szCs w:val="22"/>
              </w:rPr>
            </w:pPr>
            <w:r>
              <w:rPr>
                <w:rFonts w:hint="eastAsia"/>
                <w:b/>
                <w:bCs/>
                <w:sz w:val="22"/>
                <w:szCs w:val="22"/>
              </w:rPr>
              <w:t xml:space="preserve">△法人授权书</w:t>
            </w:r>
            <w:r/>
          </w:p>
        </w:tc>
      </w:tr>
      <w:tr>
        <w:trPr>
          <w:jc w:val="center"/>
          <w:trHeight w:val="170"/>
        </w:trPr>
        <w:tc>
          <w:tcPr>
            <w:tcBorders>
              <w:left w:val="single" w:color="auto" w:sz="4" w:space="0"/>
              <w:right w:val="single" w:color="auto" w:sz="4" w:space="0"/>
            </w:tcBorders>
            <w:tcW w:w="1150" w:type="dxa"/>
            <w:vAlign w:val="center"/>
            <w:vMerge w:val="continue"/>
            <w:textDirection w:val="lrTb"/>
            <w:noWrap w:val="false"/>
          </w:tcPr>
          <w:p>
            <w:pPr>
              <w:rPr>
                <w:rFonts w:hint="eastAsia"/>
                <w:sz w:val="22"/>
                <w:szCs w:val="22"/>
              </w:rPr>
            </w:pPr>
            <w:r>
              <w:rPr>
                <w:rFonts w:hint="eastAsia"/>
                <w:sz w:val="22"/>
                <w:szCs w:val="22"/>
              </w:rPr>
            </w:r>
            <w:r/>
          </w:p>
        </w:tc>
        <w:tc>
          <w:tcPr>
            <w:tcBorders>
              <w:left w:val="none" w:color="000000" w:sz="4" w:space="0"/>
              <w:right w:val="single" w:color="auto" w:sz="4" w:space="0"/>
            </w:tcBorders>
            <w:tcW w:w="2360" w:type="dxa"/>
            <w:vMerge w:val="continue"/>
            <w:textDirection w:val="lrTb"/>
            <w:noWrap w:val="false"/>
          </w:tcPr>
          <w:p>
            <w:pPr>
              <w:jc w:val="center"/>
              <w:rPr>
                <w:rFonts w:hint="eastAsia"/>
                <w:b/>
                <w:bCs/>
                <w:sz w:val="22"/>
                <w:szCs w:val="22"/>
              </w:rPr>
            </w:pPr>
            <w:r>
              <w:rPr>
                <w:rFonts w:hint="eastAsia"/>
                <w:b/>
                <w:bCs/>
                <w:sz w:val="22"/>
                <w:szCs w:val="22"/>
              </w:rPr>
            </w:r>
            <w:r/>
          </w:p>
        </w:tc>
        <w:tc>
          <w:tcPr>
            <w:tcBorders>
              <w:top w:val="single" w:color="auto" w:sz="4" w:space="0"/>
              <w:left w:val="none" w:color="000000" w:sz="4" w:space="0"/>
              <w:bottom w:val="single" w:color="auto" w:sz="4" w:space="0"/>
              <w:right w:val="single" w:color="auto" w:sz="4" w:space="0"/>
            </w:tcBorders>
            <w:tcW w:w="6691" w:type="dxa"/>
            <w:vAlign w:val="center"/>
            <w:textDirection w:val="lrTb"/>
            <w:noWrap w:val="false"/>
          </w:tcPr>
          <w:p>
            <w:pPr>
              <w:rPr>
                <w:rFonts w:hint="eastAsia"/>
                <w:sz w:val="22"/>
                <w:szCs w:val="22"/>
              </w:rPr>
            </w:pPr>
            <w:r>
              <w:rPr>
                <w:rFonts w:hint="eastAsia"/>
                <w:sz w:val="22"/>
                <w:szCs w:val="22"/>
              </w:rPr>
              <w:t xml:space="preserve">经“信用中国”网站查询未被列入信用记录失信被执行人、重大税收违法失信主体名单、政府采购严重违法失信行为记录名单</w:t>
            </w:r>
            <w:r/>
          </w:p>
        </w:tc>
      </w:tr>
      <w:tr>
        <w:trPr>
          <w:jc w:val="center"/>
          <w:trHeight w:val="170"/>
        </w:trPr>
        <w:tc>
          <w:tcPr>
            <w:tcBorders>
              <w:left w:val="single" w:color="auto" w:sz="4" w:space="0"/>
              <w:right w:val="single" w:color="auto" w:sz="4" w:space="0"/>
            </w:tcBorders>
            <w:tcW w:w="1150" w:type="dxa"/>
            <w:vAlign w:val="center"/>
            <w:vMerge w:val="continue"/>
            <w:textDirection w:val="lrTb"/>
            <w:noWrap w:val="false"/>
          </w:tcPr>
          <w:p>
            <w:pPr>
              <w:rPr>
                <w:rFonts w:hint="eastAsia"/>
                <w:sz w:val="22"/>
                <w:szCs w:val="22"/>
              </w:rPr>
            </w:pPr>
            <w:r>
              <w:rPr>
                <w:rFonts w:hint="eastAsia"/>
                <w:sz w:val="22"/>
                <w:szCs w:val="22"/>
              </w:rPr>
            </w:r>
            <w:r/>
          </w:p>
        </w:tc>
        <w:tc>
          <w:tcPr>
            <w:tcBorders>
              <w:left w:val="none" w:color="000000" w:sz="4" w:space="0"/>
              <w:right w:val="single" w:color="auto" w:sz="4" w:space="0"/>
            </w:tcBorders>
            <w:tcW w:w="2360" w:type="dxa"/>
            <w:vMerge w:val="continue"/>
            <w:textDirection w:val="lrTb"/>
            <w:noWrap w:val="false"/>
          </w:tcPr>
          <w:p>
            <w:pPr>
              <w:rPr>
                <w:rFonts w:hint="eastAsia"/>
                <w:b/>
                <w:bCs/>
                <w:sz w:val="22"/>
                <w:szCs w:val="22"/>
              </w:rPr>
            </w:pPr>
            <w:r>
              <w:rPr>
                <w:rFonts w:hint="eastAsia"/>
                <w:b/>
                <w:bCs/>
                <w:sz w:val="22"/>
                <w:szCs w:val="22"/>
              </w:rPr>
            </w:r>
            <w:r/>
          </w:p>
        </w:tc>
        <w:tc>
          <w:tcPr>
            <w:tcBorders>
              <w:top w:val="single" w:color="auto" w:sz="4" w:space="0"/>
              <w:left w:val="none" w:color="000000" w:sz="4" w:space="0"/>
              <w:bottom w:val="single" w:color="auto" w:sz="4" w:space="0"/>
              <w:right w:val="single" w:color="auto" w:sz="4" w:space="0"/>
            </w:tcBorders>
            <w:tcW w:w="6691" w:type="dxa"/>
            <w:vAlign w:val="center"/>
            <w:textDirection w:val="lrTb"/>
            <w:noWrap w:val="false"/>
          </w:tcPr>
          <w:p>
            <w:pPr>
              <w:rPr>
                <w:rFonts w:hint="eastAsia"/>
                <w:sz w:val="22"/>
                <w:szCs w:val="22"/>
              </w:rPr>
            </w:pPr>
            <w:r>
              <w:rPr>
                <w:rFonts w:hint="eastAsia"/>
                <w:sz w:val="22"/>
                <w:szCs w:val="22"/>
              </w:rPr>
              <w:t xml:space="preserve">△信用承诺书</w:t>
            </w:r>
            <w:r/>
          </w:p>
        </w:tc>
      </w:tr>
      <w:tr>
        <w:trPr>
          <w:jc w:val="center"/>
          <w:trHeight w:val="170"/>
        </w:trPr>
        <w:tc>
          <w:tcPr>
            <w:tcBorders>
              <w:left w:val="single" w:color="auto" w:sz="4" w:space="0"/>
              <w:right w:val="single" w:color="auto" w:sz="4" w:space="0"/>
            </w:tcBorders>
            <w:tcW w:w="1150" w:type="dxa"/>
            <w:vAlign w:val="center"/>
            <w:vMerge w:val="continue"/>
            <w:textDirection w:val="lrTb"/>
            <w:noWrap w:val="false"/>
          </w:tcPr>
          <w:p>
            <w:pPr>
              <w:rPr>
                <w:rFonts w:hint="eastAsia"/>
                <w:sz w:val="22"/>
                <w:szCs w:val="22"/>
              </w:rPr>
            </w:pPr>
            <w:r>
              <w:rPr>
                <w:rFonts w:hint="eastAsia"/>
                <w:sz w:val="22"/>
                <w:szCs w:val="22"/>
              </w:rPr>
            </w:r>
            <w:r/>
          </w:p>
        </w:tc>
        <w:tc>
          <w:tcPr>
            <w:tcBorders>
              <w:left w:val="none" w:color="000000" w:sz="4" w:space="0"/>
              <w:right w:val="single" w:color="auto" w:sz="4" w:space="0"/>
            </w:tcBorders>
            <w:tcW w:w="2360" w:type="dxa"/>
            <w:vMerge w:val="continue"/>
            <w:textDirection w:val="lrTb"/>
            <w:noWrap w:val="false"/>
          </w:tcPr>
          <w:p>
            <w:pPr>
              <w:rPr>
                <w:rFonts w:hint="eastAsia"/>
                <w:b/>
                <w:bCs/>
                <w:sz w:val="22"/>
                <w:szCs w:val="22"/>
              </w:rPr>
            </w:pPr>
            <w:r>
              <w:rPr>
                <w:rFonts w:hint="eastAsia"/>
                <w:b/>
                <w:bCs/>
                <w:sz w:val="22"/>
                <w:szCs w:val="22"/>
              </w:rPr>
            </w:r>
            <w:r/>
          </w:p>
        </w:tc>
        <w:tc>
          <w:tcPr>
            <w:tcBorders>
              <w:top w:val="single" w:color="auto" w:sz="4" w:space="0"/>
              <w:left w:val="none" w:color="000000" w:sz="4" w:space="0"/>
              <w:bottom w:val="single" w:color="auto" w:sz="4" w:space="0"/>
              <w:right w:val="single" w:color="auto" w:sz="4" w:space="0"/>
            </w:tcBorders>
            <w:tcW w:w="6691" w:type="dxa"/>
            <w:vAlign w:val="center"/>
            <w:textDirection w:val="lrTb"/>
            <w:noWrap w:val="false"/>
          </w:tcPr>
          <w:p>
            <w:pPr>
              <w:rPr>
                <w:rFonts w:hint="eastAsia"/>
                <w:sz w:val="22"/>
                <w:szCs w:val="22"/>
              </w:rPr>
            </w:pPr>
            <w:r>
              <w:rPr>
                <w:rFonts w:hint="eastAsia"/>
                <w:sz w:val="22"/>
                <w:szCs w:val="22"/>
              </w:rPr>
              <w:t xml:space="preserve">△资格承诺声明函</w:t>
            </w:r>
            <w:r/>
          </w:p>
        </w:tc>
      </w:tr>
      <w:tr>
        <w:trPr>
          <w:jc w:val="center"/>
          <w:trHeight w:val="170"/>
        </w:trPr>
        <w:tc>
          <w:tcPr>
            <w:tcBorders>
              <w:left w:val="single" w:color="auto" w:sz="4" w:space="0"/>
              <w:right w:val="single" w:color="auto" w:sz="4" w:space="0"/>
            </w:tcBorders>
            <w:tcW w:w="1150" w:type="dxa"/>
            <w:vAlign w:val="center"/>
            <w:vMerge w:val="continue"/>
            <w:textDirection w:val="lrTb"/>
            <w:noWrap w:val="false"/>
          </w:tcPr>
          <w:p>
            <w:pPr>
              <w:rPr>
                <w:rFonts w:hint="eastAsia"/>
                <w:sz w:val="22"/>
                <w:szCs w:val="22"/>
              </w:rPr>
            </w:pPr>
            <w:r>
              <w:rPr>
                <w:rFonts w:hint="eastAsia"/>
                <w:sz w:val="22"/>
                <w:szCs w:val="22"/>
              </w:rPr>
            </w:r>
            <w:r/>
          </w:p>
        </w:tc>
        <w:tc>
          <w:tcPr>
            <w:tcBorders>
              <w:left w:val="none" w:color="000000" w:sz="4" w:space="0"/>
              <w:right w:val="single" w:color="auto" w:sz="4" w:space="0"/>
            </w:tcBorders>
            <w:tcW w:w="2360" w:type="dxa"/>
            <w:vMerge w:val="continue"/>
            <w:textDirection w:val="lrTb"/>
            <w:noWrap w:val="false"/>
          </w:tcPr>
          <w:p>
            <w:pPr>
              <w:rPr>
                <w:rFonts w:hint="eastAsia"/>
                <w:b/>
                <w:bCs/>
                <w:sz w:val="22"/>
                <w:szCs w:val="22"/>
              </w:rPr>
            </w:pPr>
            <w:r>
              <w:rPr>
                <w:rFonts w:hint="eastAsia"/>
                <w:b/>
                <w:bCs/>
                <w:sz w:val="22"/>
                <w:szCs w:val="22"/>
              </w:rPr>
            </w:r>
            <w:r/>
          </w:p>
        </w:tc>
        <w:tc>
          <w:tcPr>
            <w:tcBorders>
              <w:top w:val="single" w:color="auto" w:sz="4" w:space="0"/>
              <w:left w:val="none" w:color="000000" w:sz="4" w:space="0"/>
              <w:bottom w:val="single" w:color="auto" w:sz="4" w:space="0"/>
              <w:right w:val="single" w:color="auto" w:sz="4" w:space="0"/>
            </w:tcBorders>
            <w:tcW w:w="6691" w:type="dxa"/>
            <w:vAlign w:val="center"/>
            <w:textDirection w:val="lrTb"/>
            <w:noWrap w:val="false"/>
          </w:tcPr>
          <w:p>
            <w:pPr>
              <w:rPr>
                <w:rFonts w:hint="eastAsia"/>
                <w:sz w:val="22"/>
                <w:szCs w:val="22"/>
              </w:rPr>
            </w:pPr>
            <w:r>
              <w:rPr>
                <w:rFonts w:hint="eastAsia"/>
                <w:sz w:val="22"/>
                <w:szCs w:val="22"/>
              </w:rPr>
              <w:t xml:space="preserve">△落实政府采购政策需满足的资格条件（详见第一章“投标邀请”）：</w:t>
            </w:r>
            <w:r>
              <w:rPr>
                <w:b/>
                <w:bCs/>
                <w:sz w:val="22"/>
                <w:szCs w:val="22"/>
              </w:rPr>
              <w:t xml:space="preserve">如采购公告中明确专门面向中小/小微企业采购，须按要求提供中小企业声明函</w:t>
            </w:r>
            <w:r/>
          </w:p>
        </w:tc>
      </w:tr>
      <w:tr>
        <w:trPr>
          <w:jc w:val="center"/>
          <w:trHeight w:val="170"/>
        </w:trPr>
        <w:tc>
          <w:tcPr>
            <w:tcBorders>
              <w:left w:val="single" w:color="auto" w:sz="4" w:space="0"/>
              <w:right w:val="single" w:color="auto" w:sz="4" w:space="0"/>
            </w:tcBorders>
            <w:tcW w:w="1150" w:type="dxa"/>
            <w:vAlign w:val="center"/>
            <w:vMerge w:val="continue"/>
            <w:textDirection w:val="lrTb"/>
            <w:noWrap w:val="false"/>
          </w:tcPr>
          <w:p>
            <w:pPr>
              <w:rPr>
                <w:rFonts w:hint="eastAsia"/>
                <w:sz w:val="22"/>
                <w:szCs w:val="22"/>
              </w:rPr>
            </w:pPr>
            <w:r>
              <w:rPr>
                <w:rFonts w:hint="eastAsia"/>
                <w:sz w:val="22"/>
                <w:szCs w:val="22"/>
              </w:rPr>
            </w:r>
            <w:r/>
          </w:p>
        </w:tc>
        <w:tc>
          <w:tcPr>
            <w:tcBorders>
              <w:left w:val="none" w:color="000000" w:sz="4" w:space="0"/>
              <w:bottom w:val="single" w:color="auto" w:sz="4" w:space="0"/>
              <w:right w:val="single" w:color="auto" w:sz="4" w:space="0"/>
            </w:tcBorders>
            <w:tcW w:w="2360" w:type="dxa"/>
            <w:vMerge w:val="continue"/>
            <w:textDirection w:val="lrTb"/>
            <w:noWrap w:val="false"/>
          </w:tcPr>
          <w:p>
            <w:pPr>
              <w:rPr>
                <w:rFonts w:hint="eastAsia"/>
                <w:b/>
                <w:bCs/>
                <w:sz w:val="22"/>
                <w:szCs w:val="22"/>
              </w:rPr>
            </w:pPr>
            <w:r>
              <w:rPr>
                <w:rFonts w:hint="eastAsia"/>
                <w:b/>
                <w:bCs/>
                <w:sz w:val="22"/>
                <w:szCs w:val="22"/>
              </w:rPr>
            </w:r>
            <w:r/>
          </w:p>
        </w:tc>
        <w:tc>
          <w:tcPr>
            <w:tcBorders>
              <w:top w:val="single" w:color="auto" w:sz="4" w:space="0"/>
              <w:left w:val="none" w:color="000000" w:sz="4" w:space="0"/>
              <w:bottom w:val="single" w:color="auto" w:sz="4" w:space="0"/>
              <w:right w:val="single" w:color="auto" w:sz="4" w:space="0"/>
            </w:tcBorders>
            <w:tcW w:w="6691" w:type="dxa"/>
            <w:vAlign w:val="center"/>
            <w:textDirection w:val="lrTb"/>
            <w:noWrap w:val="false"/>
          </w:tcPr>
          <w:p>
            <w:pPr>
              <w:rPr>
                <w:rFonts w:hint="eastAsia"/>
                <w:sz w:val="22"/>
                <w:szCs w:val="22"/>
              </w:rPr>
            </w:pPr>
            <w:r>
              <w:rPr>
                <w:rFonts w:hint="eastAsia"/>
                <w:sz w:val="22"/>
                <w:szCs w:val="22"/>
              </w:rPr>
              <w:t xml:space="preserve">△特定资格条件（详见“第三章 资格审查”—“第二节 资格审查要求”）</w:t>
            </w:r>
            <w:r/>
          </w:p>
        </w:tc>
      </w:tr>
      <w:tr>
        <w:trPr>
          <w:jc w:val="center"/>
          <w:trHeight w:val="170"/>
        </w:trPr>
        <w:tc>
          <w:tcPr>
            <w:tcBorders>
              <w:left w:val="single" w:color="auto" w:sz="4" w:space="0"/>
              <w:right w:val="single" w:color="auto" w:sz="4" w:space="0"/>
            </w:tcBorders>
            <w:tcW w:w="1150" w:type="dxa"/>
            <w:vAlign w:val="center"/>
            <w:vMerge w:val="continue"/>
            <w:textDirection w:val="lrTb"/>
            <w:noWrap w:val="false"/>
          </w:tcPr>
          <w:p>
            <w:pPr>
              <w:rPr>
                <w:rFonts w:hint="eastAsia"/>
                <w:sz w:val="22"/>
                <w:szCs w:val="22"/>
              </w:rPr>
            </w:pPr>
            <w:r>
              <w:rPr>
                <w:rFonts w:hint="eastAsia"/>
                <w:sz w:val="22"/>
                <w:szCs w:val="22"/>
              </w:rPr>
            </w:r>
            <w:r/>
          </w:p>
        </w:tc>
        <w:tc>
          <w:tcPr>
            <w:tcBorders>
              <w:top w:val="single" w:color="auto" w:sz="4" w:space="0"/>
              <w:left w:val="none" w:color="000000" w:sz="4" w:space="0"/>
              <w:right w:val="single" w:color="auto" w:sz="4" w:space="0"/>
            </w:tcBorders>
            <w:tcW w:w="2360" w:type="dxa"/>
            <w:vAlign w:val="center"/>
            <w:vMerge w:val="restart"/>
            <w:textDirection w:val="lrTb"/>
            <w:noWrap w:val="false"/>
          </w:tcPr>
          <w:p>
            <w:pPr>
              <w:rPr>
                <w:rFonts w:hint="eastAsia"/>
                <w:b/>
                <w:bCs/>
                <w:sz w:val="22"/>
                <w:szCs w:val="22"/>
              </w:rPr>
            </w:pPr>
            <w:r>
              <w:rPr>
                <w:rFonts w:hint="eastAsia"/>
                <w:b/>
                <w:bCs/>
                <w:sz w:val="22"/>
                <w:szCs w:val="22"/>
              </w:rPr>
              <w:t xml:space="preserve">符合证明文件格式材料</w:t>
            </w:r>
            <w:r/>
          </w:p>
        </w:tc>
        <w:tc>
          <w:tcPr>
            <w:tcBorders>
              <w:top w:val="single" w:color="auto" w:sz="4" w:space="0"/>
              <w:left w:val="none" w:color="000000" w:sz="4" w:space="0"/>
              <w:bottom w:val="single" w:color="auto" w:sz="4" w:space="0"/>
              <w:right w:val="single" w:color="auto" w:sz="4" w:space="0"/>
            </w:tcBorders>
            <w:tcW w:w="6691" w:type="dxa"/>
            <w:vAlign w:val="center"/>
            <w:textDirection w:val="lrTb"/>
            <w:noWrap w:val="false"/>
          </w:tcPr>
          <w:p>
            <w:pPr>
              <w:rPr>
                <w:rFonts w:hint="eastAsia"/>
                <w:sz w:val="22"/>
                <w:szCs w:val="22"/>
              </w:rPr>
            </w:pPr>
            <w:r>
              <w:rPr>
                <w:rFonts w:hint="eastAsia"/>
                <w:sz w:val="22"/>
                <w:szCs w:val="22"/>
              </w:rPr>
              <w:t xml:space="preserve">*投标函</w:t>
            </w:r>
            <w:r/>
          </w:p>
        </w:tc>
      </w:tr>
      <w:tr>
        <w:trPr>
          <w:jc w:val="center"/>
          <w:trHeight w:val="170"/>
        </w:trPr>
        <w:tc>
          <w:tcPr>
            <w:tcBorders>
              <w:left w:val="single" w:color="auto" w:sz="4" w:space="0"/>
              <w:right w:val="single" w:color="auto" w:sz="4" w:space="0"/>
            </w:tcBorders>
            <w:tcW w:w="1150" w:type="dxa"/>
            <w:vAlign w:val="center"/>
            <w:vMerge w:val="continue"/>
            <w:textDirection w:val="lrTb"/>
            <w:noWrap w:val="false"/>
          </w:tcPr>
          <w:p>
            <w:pPr>
              <w:rPr>
                <w:rFonts w:hint="eastAsia"/>
                <w:sz w:val="22"/>
                <w:szCs w:val="22"/>
              </w:rPr>
            </w:pPr>
            <w:r>
              <w:rPr>
                <w:rFonts w:hint="eastAsia"/>
                <w:sz w:val="22"/>
                <w:szCs w:val="22"/>
              </w:rPr>
            </w:r>
            <w:r/>
          </w:p>
        </w:tc>
        <w:tc>
          <w:tcPr>
            <w:tcBorders>
              <w:left w:val="none" w:color="000000" w:sz="4" w:space="0"/>
              <w:right w:val="single" w:color="auto" w:sz="4" w:space="0"/>
            </w:tcBorders>
            <w:tcW w:w="2360" w:type="dxa"/>
            <w:vMerge w:val="continue"/>
            <w:textDirection w:val="lrTb"/>
            <w:noWrap w:val="false"/>
          </w:tcPr>
          <w:p>
            <w:pPr>
              <w:ind w:firstLine="442"/>
              <w:rPr>
                <w:rFonts w:hint="eastAsia"/>
                <w:b/>
                <w:bCs/>
                <w:sz w:val="22"/>
                <w:szCs w:val="22"/>
              </w:rPr>
            </w:pPr>
            <w:r>
              <w:rPr>
                <w:rFonts w:hint="eastAsia"/>
                <w:b/>
                <w:bCs/>
                <w:sz w:val="22"/>
                <w:szCs w:val="22"/>
              </w:rPr>
            </w:r>
            <w:r/>
          </w:p>
        </w:tc>
        <w:tc>
          <w:tcPr>
            <w:tcBorders>
              <w:top w:val="single" w:color="auto" w:sz="4" w:space="0"/>
              <w:left w:val="none" w:color="000000" w:sz="4" w:space="0"/>
              <w:bottom w:val="single" w:color="auto" w:sz="4" w:space="0"/>
              <w:right w:val="single" w:color="auto" w:sz="4" w:space="0"/>
            </w:tcBorders>
            <w:tcW w:w="6691" w:type="dxa"/>
            <w:vAlign w:val="center"/>
            <w:textDirection w:val="lrTb"/>
            <w:noWrap w:val="false"/>
          </w:tcPr>
          <w:p>
            <w:pPr>
              <w:rPr>
                <w:rFonts w:hint="eastAsia"/>
                <w:sz w:val="22"/>
                <w:szCs w:val="22"/>
              </w:rPr>
            </w:pPr>
            <w:r>
              <w:rPr>
                <w:rFonts w:hint="eastAsia"/>
                <w:sz w:val="22"/>
                <w:szCs w:val="22"/>
              </w:rPr>
              <w:t xml:space="preserve">*报价明细表</w:t>
            </w:r>
            <w:r/>
          </w:p>
        </w:tc>
      </w:tr>
      <w:tr>
        <w:trPr>
          <w:jc w:val="center"/>
          <w:trHeight w:val="170"/>
        </w:trPr>
        <w:tc>
          <w:tcPr>
            <w:tcBorders>
              <w:left w:val="single" w:color="auto" w:sz="4" w:space="0"/>
              <w:right w:val="single" w:color="auto" w:sz="4" w:space="0"/>
            </w:tcBorders>
            <w:tcW w:w="1150" w:type="dxa"/>
            <w:vAlign w:val="center"/>
            <w:vMerge w:val="continue"/>
            <w:textDirection w:val="lrTb"/>
            <w:noWrap w:val="false"/>
          </w:tcPr>
          <w:p>
            <w:pPr>
              <w:rPr>
                <w:rFonts w:hint="eastAsia"/>
                <w:sz w:val="22"/>
                <w:szCs w:val="22"/>
              </w:rPr>
            </w:pPr>
            <w:r>
              <w:rPr>
                <w:rFonts w:hint="eastAsia"/>
                <w:sz w:val="22"/>
                <w:szCs w:val="22"/>
              </w:rPr>
            </w:r>
            <w:r/>
          </w:p>
        </w:tc>
        <w:tc>
          <w:tcPr>
            <w:tcBorders>
              <w:left w:val="none" w:color="000000" w:sz="4" w:space="0"/>
              <w:right w:val="single" w:color="auto" w:sz="4" w:space="0"/>
            </w:tcBorders>
            <w:tcW w:w="2360" w:type="dxa"/>
            <w:vMerge w:val="continue"/>
            <w:textDirection w:val="lrTb"/>
            <w:noWrap w:val="false"/>
          </w:tcPr>
          <w:p>
            <w:pPr>
              <w:rPr>
                <w:rFonts w:hint="eastAsia"/>
                <w:b/>
                <w:bCs/>
                <w:sz w:val="22"/>
                <w:szCs w:val="22"/>
              </w:rPr>
            </w:pPr>
            <w:r>
              <w:rPr>
                <w:rFonts w:hint="eastAsia"/>
                <w:b/>
                <w:bCs/>
                <w:sz w:val="22"/>
                <w:szCs w:val="22"/>
              </w:rPr>
            </w:r>
            <w:r/>
          </w:p>
        </w:tc>
        <w:tc>
          <w:tcPr>
            <w:tcBorders>
              <w:top w:val="single" w:color="auto" w:sz="4" w:space="0"/>
              <w:left w:val="none" w:color="000000" w:sz="4" w:space="0"/>
              <w:bottom w:val="single" w:color="auto" w:sz="4" w:space="0"/>
              <w:right w:val="single" w:color="auto" w:sz="4" w:space="0"/>
            </w:tcBorders>
            <w:tcW w:w="6691" w:type="dxa"/>
            <w:vAlign w:val="center"/>
            <w:textDirection w:val="lrTb"/>
            <w:noWrap w:val="false"/>
          </w:tcPr>
          <w:p>
            <w:pPr>
              <w:rPr>
                <w:rFonts w:hint="eastAsia"/>
                <w:sz w:val="22"/>
                <w:szCs w:val="22"/>
              </w:rPr>
            </w:pPr>
            <w:r>
              <w:rPr>
                <w:rFonts w:hint="eastAsia"/>
                <w:sz w:val="22"/>
                <w:szCs w:val="22"/>
              </w:rPr>
              <w:t xml:space="preserve">*技术偏离表</w:t>
            </w:r>
            <w:r/>
          </w:p>
        </w:tc>
      </w:tr>
      <w:tr>
        <w:trPr>
          <w:jc w:val="center"/>
          <w:trHeight w:val="170"/>
        </w:trPr>
        <w:tc>
          <w:tcPr>
            <w:tcBorders>
              <w:left w:val="single" w:color="auto" w:sz="4" w:space="0"/>
              <w:right w:val="single" w:color="auto" w:sz="4" w:space="0"/>
            </w:tcBorders>
            <w:tcW w:w="1150" w:type="dxa"/>
            <w:vAlign w:val="center"/>
            <w:vMerge w:val="continue"/>
            <w:textDirection w:val="lrTb"/>
            <w:noWrap w:val="false"/>
          </w:tcPr>
          <w:p>
            <w:pPr>
              <w:rPr>
                <w:rFonts w:hint="eastAsia"/>
                <w:sz w:val="22"/>
                <w:szCs w:val="22"/>
              </w:rPr>
            </w:pPr>
            <w:r>
              <w:rPr>
                <w:rFonts w:hint="eastAsia"/>
                <w:sz w:val="22"/>
                <w:szCs w:val="22"/>
              </w:rPr>
            </w:r>
            <w:r/>
          </w:p>
        </w:tc>
        <w:tc>
          <w:tcPr>
            <w:tcBorders>
              <w:left w:val="none" w:color="000000" w:sz="4" w:space="0"/>
              <w:bottom w:val="single" w:color="auto" w:sz="4" w:space="0"/>
              <w:right w:val="single" w:color="auto" w:sz="4" w:space="0"/>
            </w:tcBorders>
            <w:tcW w:w="2360" w:type="dxa"/>
            <w:vMerge w:val="continue"/>
            <w:textDirection w:val="lrTb"/>
            <w:noWrap w:val="false"/>
          </w:tcPr>
          <w:p>
            <w:pPr>
              <w:rPr>
                <w:rFonts w:hint="eastAsia"/>
                <w:b/>
                <w:bCs/>
                <w:sz w:val="22"/>
                <w:szCs w:val="22"/>
              </w:rPr>
            </w:pPr>
            <w:r>
              <w:rPr>
                <w:rFonts w:hint="eastAsia"/>
                <w:b/>
                <w:bCs/>
                <w:sz w:val="22"/>
                <w:szCs w:val="22"/>
              </w:rPr>
            </w:r>
            <w:r/>
          </w:p>
        </w:tc>
        <w:tc>
          <w:tcPr>
            <w:tcBorders>
              <w:top w:val="single" w:color="auto" w:sz="4" w:space="0"/>
              <w:left w:val="none" w:color="000000" w:sz="4" w:space="0"/>
              <w:bottom w:val="single" w:color="auto" w:sz="4" w:space="0"/>
              <w:right w:val="single" w:color="auto" w:sz="4" w:space="0"/>
            </w:tcBorders>
            <w:tcW w:w="6691" w:type="dxa"/>
            <w:textDirection w:val="lrTb"/>
            <w:noWrap w:val="false"/>
          </w:tcPr>
          <w:p>
            <w:pPr>
              <w:rPr>
                <w:rFonts w:hint="eastAsia"/>
                <w:sz w:val="22"/>
                <w:szCs w:val="22"/>
              </w:rPr>
            </w:pPr>
            <w:r>
              <w:rPr>
                <w:rFonts w:hint="eastAsia"/>
                <w:sz w:val="22"/>
                <w:szCs w:val="22"/>
              </w:rPr>
              <w:t xml:space="preserve">*投标文件有效性（根据采购文件要求填写，如采购文件无相关要求，此条可不填写）</w:t>
            </w:r>
            <w:r/>
          </w:p>
        </w:tc>
      </w:tr>
      <w:tr>
        <w:trPr>
          <w:jc w:val="center"/>
          <w:trHeight w:val="170"/>
        </w:trPr>
        <w:tc>
          <w:tcPr>
            <w:tcBorders>
              <w:left w:val="single" w:color="auto" w:sz="4" w:space="0"/>
              <w:right w:val="single" w:color="auto" w:sz="4" w:space="0"/>
            </w:tcBorders>
            <w:tcW w:w="1150" w:type="dxa"/>
            <w:vAlign w:val="center"/>
            <w:vMerge w:val="continue"/>
            <w:textDirection w:val="lrTb"/>
            <w:noWrap w:val="false"/>
          </w:tcPr>
          <w:p>
            <w:pPr>
              <w:rPr>
                <w:rFonts w:hint="eastAsia"/>
                <w:sz w:val="22"/>
                <w:szCs w:val="22"/>
              </w:rPr>
            </w:pPr>
            <w:r>
              <w:rPr>
                <w:rFonts w:hint="eastAsia"/>
                <w:sz w:val="22"/>
                <w:szCs w:val="22"/>
              </w:rPr>
            </w:r>
            <w:r/>
          </w:p>
        </w:tc>
        <w:tc>
          <w:tcPr>
            <w:tcBorders>
              <w:top w:val="single" w:color="auto" w:sz="4" w:space="0"/>
              <w:left w:val="none" w:color="000000" w:sz="4" w:space="0"/>
              <w:right w:val="single" w:color="auto" w:sz="4" w:space="0"/>
            </w:tcBorders>
            <w:tcW w:w="2360" w:type="dxa"/>
            <w:vAlign w:val="center"/>
            <w:textDirection w:val="lrTb"/>
            <w:noWrap w:val="false"/>
          </w:tcPr>
          <w:p>
            <w:pPr>
              <w:jc w:val="center"/>
              <w:rPr>
                <w:rFonts w:hint="eastAsia"/>
                <w:b/>
                <w:bCs/>
                <w:sz w:val="22"/>
                <w:szCs w:val="22"/>
              </w:rPr>
            </w:pPr>
            <w:r>
              <w:rPr>
                <w:rFonts w:hint="eastAsia"/>
                <w:b/>
                <w:bCs/>
                <w:sz w:val="22"/>
                <w:szCs w:val="22"/>
              </w:rPr>
              <w:t xml:space="preserve">综合评审文件格式材料</w:t>
            </w:r>
            <w:r/>
          </w:p>
        </w:tc>
        <w:tc>
          <w:tcPr>
            <w:tcBorders>
              <w:top w:val="single" w:color="auto" w:sz="4" w:space="0"/>
              <w:left w:val="none" w:color="000000" w:sz="4" w:space="0"/>
              <w:bottom w:val="single" w:color="auto" w:sz="4" w:space="0"/>
              <w:right w:val="single" w:color="auto" w:sz="4" w:space="0"/>
            </w:tcBorders>
            <w:tcW w:w="6691" w:type="dxa"/>
            <w:textDirection w:val="lrTb"/>
            <w:noWrap w:val="false"/>
          </w:tcPr>
          <w:p>
            <w:pPr>
              <w:rPr>
                <w:rFonts w:hint="eastAsia"/>
                <w:sz w:val="22"/>
                <w:szCs w:val="22"/>
              </w:rPr>
            </w:pPr>
            <w:r>
              <w:rPr>
                <w:rFonts w:hint="eastAsia"/>
                <w:sz w:val="22"/>
                <w:szCs w:val="22"/>
              </w:rPr>
              <w:t xml:space="preserve">采用综合评分法的项目，每项评分材料按第五章“评标方法和评标标准”评分细则中对应评分项目（或数字编号）分别上传。</w:t>
            </w:r>
            <w:r/>
          </w:p>
        </w:tc>
      </w:tr>
      <w:tr>
        <w:trPr>
          <w:jc w:val="center"/>
          <w:trHeight w:val="170"/>
        </w:trPr>
        <w:tc>
          <w:tcPr>
            <w:tcBorders>
              <w:left w:val="single" w:color="auto" w:sz="4" w:space="0"/>
              <w:bottom w:val="single" w:color="auto" w:sz="4" w:space="0"/>
              <w:right w:val="single" w:color="auto" w:sz="4" w:space="0"/>
            </w:tcBorders>
            <w:tcW w:w="1150" w:type="dxa"/>
            <w:vAlign w:val="center"/>
            <w:vMerge w:val="continue"/>
            <w:textDirection w:val="lrTb"/>
            <w:noWrap w:val="false"/>
          </w:tcPr>
          <w:p>
            <w:pPr>
              <w:rPr>
                <w:rFonts w:hint="eastAsia"/>
                <w:sz w:val="22"/>
                <w:szCs w:val="22"/>
              </w:rPr>
            </w:pPr>
            <w:r>
              <w:rPr>
                <w:rFonts w:hint="eastAsia"/>
                <w:sz w:val="22"/>
                <w:szCs w:val="22"/>
              </w:rPr>
            </w:r>
            <w:r/>
          </w:p>
        </w:tc>
        <w:tc>
          <w:tcPr>
            <w:tcBorders>
              <w:top w:val="single" w:color="auto" w:sz="4" w:space="0"/>
              <w:left w:val="none" w:color="000000" w:sz="4" w:space="0"/>
              <w:right w:val="single" w:color="auto" w:sz="4" w:space="0"/>
            </w:tcBorders>
            <w:tcW w:w="2360" w:type="dxa"/>
            <w:vAlign w:val="center"/>
            <w:textDirection w:val="lrTb"/>
            <w:noWrap w:val="false"/>
          </w:tcPr>
          <w:p>
            <w:pPr>
              <w:jc w:val="center"/>
              <w:rPr>
                <w:rFonts w:hint="eastAsia"/>
                <w:b/>
                <w:bCs/>
                <w:sz w:val="22"/>
                <w:szCs w:val="22"/>
              </w:rPr>
            </w:pPr>
            <w:r>
              <w:rPr>
                <w:rFonts w:hint="eastAsia"/>
                <w:b/>
                <w:bCs/>
                <w:sz w:val="22"/>
                <w:szCs w:val="22"/>
              </w:rPr>
              <w:t xml:space="preserve">价格折扣文件格式</w:t>
            </w:r>
            <w:r/>
          </w:p>
        </w:tc>
        <w:tc>
          <w:tcPr>
            <w:tcBorders>
              <w:top w:val="single" w:color="auto" w:sz="4" w:space="0"/>
              <w:left w:val="none" w:color="000000" w:sz="4" w:space="0"/>
              <w:bottom w:val="single" w:color="auto" w:sz="4" w:space="0"/>
              <w:right w:val="single" w:color="auto" w:sz="4" w:space="0"/>
            </w:tcBorders>
            <w:tcW w:w="6691" w:type="dxa"/>
            <w:textDirection w:val="lrTb"/>
            <w:noWrap w:val="false"/>
          </w:tcPr>
          <w:p>
            <w:pPr>
              <w:rPr>
                <w:rFonts w:hint="eastAsia"/>
                <w:sz w:val="22"/>
                <w:szCs w:val="22"/>
              </w:rPr>
            </w:pPr>
            <w:r>
              <w:rPr>
                <w:rFonts w:hint="eastAsia"/>
                <w:sz w:val="22"/>
                <w:szCs w:val="22"/>
              </w:rPr>
              <w:t xml:space="preserve">企业报价折扣证明（</w:t>
            </w:r>
            <w:r>
              <w:rPr>
                <w:sz w:val="22"/>
                <w:szCs w:val="22"/>
              </w:rPr>
              <w:t xml:space="preserve">中小企业声明函</w:t>
            </w:r>
            <w:r>
              <w:rPr>
                <w:rFonts w:hint="eastAsia"/>
                <w:sz w:val="22"/>
                <w:szCs w:val="22"/>
              </w:rPr>
              <w:t xml:space="preserve">或</w:t>
            </w:r>
            <w:r>
              <w:rPr>
                <w:sz w:val="22"/>
                <w:szCs w:val="22"/>
              </w:rPr>
              <w:t xml:space="preserve">监狱企业证明或残疾人福利性单位声明函</w:t>
            </w:r>
            <w:r>
              <w:rPr>
                <w:rFonts w:hint="eastAsia"/>
                <w:sz w:val="22"/>
                <w:szCs w:val="22"/>
              </w:rPr>
              <w:t xml:space="preserve">）</w:t>
            </w:r>
            <w:r/>
          </w:p>
        </w:tc>
      </w:tr>
      <w:tr>
        <w:trPr>
          <w:jc w:val="center"/>
          <w:trHeight w:val="170"/>
        </w:trPr>
        <w:tc>
          <w:tcPr>
            <w:tcBorders>
              <w:top w:val="single" w:color="auto" w:sz="4" w:space="0"/>
              <w:left w:val="single" w:color="auto" w:sz="4" w:space="0"/>
              <w:bottom w:val="single" w:color="auto" w:sz="4" w:space="0"/>
              <w:right w:val="single" w:color="auto" w:sz="4" w:space="0"/>
            </w:tcBorders>
            <w:tcW w:w="1150" w:type="dxa"/>
            <w:vAlign w:val="center"/>
            <w:textDirection w:val="lrTb"/>
            <w:noWrap w:val="false"/>
          </w:tcPr>
          <w:p>
            <w:pPr>
              <w:rPr>
                <w:rFonts w:hint="eastAsia"/>
                <w:b/>
                <w:sz w:val="22"/>
                <w:szCs w:val="22"/>
              </w:rPr>
            </w:pPr>
            <w:r>
              <w:rPr>
                <w:rFonts w:hint="eastAsia"/>
                <w:b/>
                <w:sz w:val="22"/>
                <w:szCs w:val="22"/>
              </w:rPr>
              <w:t xml:space="preserve">投标文件提交须知</w:t>
            </w:r>
            <w:r/>
          </w:p>
          <w:p>
            <w:pPr>
              <w:rPr>
                <w:rFonts w:hint="eastAsia"/>
                <w:sz w:val="22"/>
                <w:szCs w:val="22"/>
              </w:rPr>
            </w:pPr>
            <w:r>
              <w:rPr>
                <w:rFonts w:hint="eastAsia"/>
                <w:sz w:val="22"/>
                <w:szCs w:val="22"/>
              </w:rPr>
            </w:r>
            <w:r/>
          </w:p>
        </w:tc>
        <w:tc>
          <w:tcPr>
            <w:gridSpan w:val="2"/>
            <w:tcBorders>
              <w:top w:val="single" w:color="auto" w:sz="4" w:space="0"/>
              <w:left w:val="none" w:color="000000" w:sz="4" w:space="0"/>
              <w:bottom w:val="single" w:color="auto" w:sz="4" w:space="0"/>
              <w:right w:val="single" w:color="auto" w:sz="4" w:space="0"/>
            </w:tcBorders>
            <w:tcW w:w="9051" w:type="dxa"/>
            <w:textDirection w:val="lrTb"/>
            <w:noWrap w:val="false"/>
          </w:tcPr>
          <w:p>
            <w:pPr>
              <w:keepNext/>
              <w:spacing w:line="400" w:lineRule="exact"/>
              <w:rPr>
                <w:rFonts w:hint="eastAsia"/>
                <w:b/>
                <w:bCs/>
                <w:sz w:val="22"/>
                <w:szCs w:val="22"/>
                <w:u w:val="single"/>
              </w:rPr>
              <w:outlineLvl w:val="0"/>
            </w:pPr>
            <w:r/>
            <w:bookmarkStart w:id="476" w:name="_Toc152683410"/>
            <w:r/>
            <w:bookmarkStart w:id="477" w:name="_Toc152683570"/>
            <w:r/>
            <w:bookmarkStart w:id="478" w:name="_Toc197636582"/>
            <w:r/>
            <w:bookmarkStart w:id="479" w:name="_Toc197636634"/>
            <w:r>
              <w:rPr>
                <w:rFonts w:hint="eastAsia"/>
                <w:b/>
                <w:bCs/>
                <w:sz w:val="22"/>
                <w:szCs w:val="22"/>
                <w:u w:val="single"/>
              </w:rPr>
              <w:t xml:space="preserve">1.本部分内容仅列明格式材料要求，不代表所有列出格式的材料必须全部提交，具体提交以采购文件规定的资格条件、评分标准要求及采购文件给定格式等内容为准。</w:t>
            </w:r>
            <w:bookmarkEnd w:id="476"/>
            <w:r/>
            <w:bookmarkEnd w:id="477"/>
            <w:r/>
            <w:bookmarkEnd w:id="478"/>
            <w:r/>
            <w:bookmarkEnd w:id="479"/>
            <w:r/>
            <w:r/>
          </w:p>
          <w:p>
            <w:pPr>
              <w:keepNext/>
              <w:spacing w:line="400" w:lineRule="exact"/>
              <w:rPr>
                <w:rFonts w:hint="eastAsia"/>
                <w:b/>
                <w:bCs/>
                <w:sz w:val="22"/>
                <w:szCs w:val="22"/>
                <w:u w:val="single"/>
              </w:rPr>
              <w:outlineLvl w:val="0"/>
            </w:pPr>
            <w:r/>
            <w:bookmarkStart w:id="480" w:name="_Toc152683411"/>
            <w:r/>
            <w:bookmarkStart w:id="481" w:name="_Toc152683571"/>
            <w:r/>
            <w:bookmarkStart w:id="482" w:name="_Toc197636583"/>
            <w:r/>
            <w:bookmarkStart w:id="483" w:name="_Toc197636635"/>
            <w:r>
              <w:rPr>
                <w:rFonts w:hint="eastAsia"/>
                <w:b/>
                <w:bCs/>
                <w:sz w:val="22"/>
                <w:szCs w:val="22"/>
                <w:u w:val="single"/>
              </w:rPr>
              <w:t xml:space="preserve">2.带“△”项材料如未按“第三章 资格审查”——“</w:t>
            </w:r>
            <w:r>
              <w:rPr>
                <w:b/>
                <w:bCs/>
                <w:sz w:val="22"/>
                <w:szCs w:val="22"/>
                <w:u w:val="single"/>
              </w:rPr>
              <w:t xml:space="preserve">第二节</w:t>
            </w:r>
            <w:r>
              <w:rPr>
                <w:rFonts w:hint="eastAsia"/>
                <w:b/>
                <w:bCs/>
                <w:sz w:val="22"/>
                <w:szCs w:val="22"/>
                <w:u w:val="single"/>
              </w:rPr>
              <w:t xml:space="preserve"> </w:t>
            </w:r>
            <w:r>
              <w:rPr>
                <w:b/>
                <w:bCs/>
                <w:sz w:val="22"/>
                <w:szCs w:val="22"/>
                <w:u w:val="single"/>
              </w:rPr>
              <w:t xml:space="preserve">资格审查要求</w:t>
            </w:r>
            <w:r>
              <w:rPr>
                <w:rFonts w:hint="eastAsia"/>
                <w:b/>
                <w:bCs/>
                <w:sz w:val="22"/>
                <w:szCs w:val="22"/>
                <w:u w:val="single"/>
              </w:rPr>
              <w:t xml:space="preserve">”提交，将作资格审查不通过处理，带“*”项材料如未按要求提交，将作无效投标处理。</w:t>
            </w:r>
            <w:bookmarkEnd w:id="480"/>
            <w:r/>
            <w:bookmarkEnd w:id="481"/>
            <w:r/>
            <w:bookmarkEnd w:id="482"/>
            <w:r/>
            <w:bookmarkEnd w:id="483"/>
            <w:r/>
            <w:r/>
          </w:p>
          <w:p>
            <w:pPr>
              <w:keepNext/>
              <w:spacing w:line="400" w:lineRule="exact"/>
              <w:rPr>
                <w:rFonts w:hint="eastAsia"/>
                <w:b/>
                <w:bCs/>
                <w:sz w:val="22"/>
                <w:szCs w:val="22"/>
                <w:u w:val="single"/>
              </w:rPr>
              <w:outlineLvl w:val="0"/>
            </w:pPr>
            <w:r/>
            <w:bookmarkStart w:id="484" w:name="_Toc152683412"/>
            <w:r/>
            <w:bookmarkStart w:id="485" w:name="_Toc152683572"/>
            <w:r/>
            <w:bookmarkStart w:id="486" w:name="_Toc197636584"/>
            <w:r/>
            <w:bookmarkStart w:id="487" w:name="_Toc197636636"/>
            <w:r>
              <w:rPr>
                <w:rFonts w:hint="eastAsia"/>
                <w:b/>
                <w:bCs/>
                <w:sz w:val="22"/>
                <w:szCs w:val="22"/>
                <w:u w:val="single"/>
              </w:rPr>
              <w:t xml:space="preserve">3.投标人应严格按照顺序及要求对应上传投标文件，混乱的编排、上传、文件资料不清晰可辨导致投标文件被误读或查找不到相应内容，将导致资格审查不通过、评分项不得分、无效投标等严重后果。</w:t>
            </w:r>
            <w:bookmarkEnd w:id="484"/>
            <w:r/>
            <w:bookmarkEnd w:id="485"/>
            <w:r/>
            <w:bookmarkEnd w:id="486"/>
            <w:r/>
            <w:bookmarkEnd w:id="487"/>
            <w:r/>
            <w:r/>
          </w:p>
          <w:p>
            <w:pPr>
              <w:keepNext/>
              <w:spacing w:line="400" w:lineRule="exact"/>
              <w:rPr>
                <w:rFonts w:hint="eastAsia"/>
                <w:b/>
                <w:bCs/>
                <w:sz w:val="22"/>
                <w:szCs w:val="22"/>
                <w:u w:val="single"/>
              </w:rPr>
              <w:outlineLvl w:val="0"/>
            </w:pPr>
            <w:r/>
            <w:bookmarkStart w:id="488" w:name="_Toc152683413"/>
            <w:r/>
            <w:bookmarkStart w:id="489" w:name="_Toc152683573"/>
            <w:r/>
            <w:bookmarkStart w:id="490" w:name="_Toc197636585"/>
            <w:r/>
            <w:bookmarkStart w:id="491" w:name="_Toc197636637"/>
            <w:r>
              <w:rPr>
                <w:rFonts w:hint="eastAsia"/>
                <w:b/>
                <w:bCs/>
                <w:sz w:val="22"/>
                <w:szCs w:val="22"/>
                <w:u w:val="single"/>
              </w:rPr>
              <w:t xml:space="preserve">4.投标文件应按照采购文件要求的格式填写，无相应内容填写可填写“无”等明确的回答。</w:t>
            </w:r>
            <w:bookmarkEnd w:id="488"/>
            <w:r/>
            <w:bookmarkEnd w:id="489"/>
            <w:r/>
            <w:bookmarkEnd w:id="490"/>
            <w:r/>
            <w:bookmarkEnd w:id="491"/>
            <w:r/>
            <w:r/>
          </w:p>
          <w:p>
            <w:pPr>
              <w:keepNext/>
              <w:spacing w:line="400" w:lineRule="exact"/>
              <w:rPr>
                <w:rFonts w:hint="eastAsia"/>
                <w:b/>
                <w:sz w:val="22"/>
                <w:szCs w:val="22"/>
              </w:rPr>
              <w:outlineLvl w:val="0"/>
            </w:pPr>
            <w:r/>
            <w:bookmarkStart w:id="492" w:name="_Toc152683414"/>
            <w:r/>
            <w:bookmarkStart w:id="493" w:name="_Toc152683574"/>
            <w:r/>
            <w:bookmarkStart w:id="494" w:name="_Toc197636586"/>
            <w:r/>
            <w:bookmarkStart w:id="495" w:name="_Toc197636638"/>
            <w:r>
              <w:rPr>
                <w:rFonts w:hint="eastAsia"/>
                <w:b/>
                <w:bCs/>
                <w:sz w:val="22"/>
                <w:szCs w:val="22"/>
                <w:u w:val="single"/>
              </w:rPr>
              <w:t xml:space="preserve">5.投标文件所附格式中要求填写的全部信息都必须正面回答并保证是真实准确的。</w:t>
            </w:r>
            <w:bookmarkEnd w:id="492"/>
            <w:r/>
            <w:bookmarkEnd w:id="493"/>
            <w:r/>
            <w:bookmarkEnd w:id="494"/>
            <w:r/>
            <w:bookmarkEnd w:id="495"/>
            <w:r/>
            <w:r/>
          </w:p>
        </w:tc>
      </w:tr>
    </w:tbl>
    <w:p>
      <w:pPr>
        <w:pStyle w:val="1146"/>
        <w:ind w:firstLine="400"/>
      </w:pPr>
      <w:r/>
      <w:r/>
    </w:p>
    <w:p>
      <w:pPr>
        <w:pStyle w:val="1146"/>
        <w:ind w:firstLine="400"/>
      </w:pPr>
      <w:r/>
      <w:r/>
    </w:p>
    <w:p>
      <w:pPr>
        <w:pStyle w:val="1146"/>
        <w:ind w:firstLine="400"/>
      </w:pPr>
      <w:r/>
      <w:r/>
    </w:p>
    <w:p>
      <w:pPr>
        <w:pStyle w:val="1146"/>
        <w:ind w:firstLine="0"/>
      </w:pPr>
      <w:r/>
      <w:r/>
    </w:p>
    <w:p>
      <w:pPr>
        <w:jc w:val="center"/>
        <w:spacing w:line="360" w:lineRule="auto"/>
        <w:rPr>
          <w:rFonts w:hint="eastAsia"/>
          <w:b/>
        </w:rPr>
        <w:outlineLvl w:val="0"/>
      </w:pPr>
      <w:r/>
      <w:bookmarkStart w:id="496" w:name="_Toc152683415"/>
      <w:r/>
      <w:bookmarkStart w:id="497" w:name="_Toc197636639"/>
      <w:r>
        <w:rPr>
          <w:b/>
          <w:sz w:val="36"/>
          <w:szCs w:val="36"/>
        </w:rPr>
        <w:t xml:space="preserve">第</w:t>
      </w:r>
      <w:r>
        <w:rPr>
          <w:rFonts w:hint="eastAsia"/>
          <w:b/>
          <w:sz w:val="36"/>
          <w:szCs w:val="36"/>
        </w:rPr>
        <w:t xml:space="preserve">八</w:t>
      </w:r>
      <w:r>
        <w:rPr>
          <w:b/>
          <w:sz w:val="36"/>
          <w:szCs w:val="36"/>
        </w:rPr>
        <w:t xml:space="preserve">章   投标文件格式</w:t>
      </w:r>
      <w:bookmarkEnd w:id="474"/>
      <w:r/>
      <w:bookmarkEnd w:id="496"/>
      <w:r/>
      <w:bookmarkEnd w:id="497"/>
      <w:r/>
      <w:r/>
    </w:p>
    <w:p>
      <w:pPr>
        <w:ind w:left="142"/>
        <w:spacing w:line="360" w:lineRule="auto"/>
        <w:tabs>
          <w:tab w:val="left" w:pos="900" w:leader="none"/>
          <w:tab w:val="left" w:pos="1980" w:leader="none"/>
        </w:tabs>
        <w:rPr>
          <w:rFonts w:hint="eastAsia"/>
        </w:rPr>
      </w:pPr>
      <w:r>
        <w:rPr>
          <w:b/>
        </w:rPr>
        <w:t xml:space="preserve">投标人编制文件须知</w:t>
      </w:r>
      <w:r/>
    </w:p>
    <w:p>
      <w:pPr>
        <w:ind w:left="142"/>
        <w:spacing w:line="360" w:lineRule="auto"/>
        <w:tabs>
          <w:tab w:val="left" w:pos="900" w:leader="none"/>
          <w:tab w:val="left" w:pos="1980" w:leader="none"/>
        </w:tabs>
        <w:rPr>
          <w:rFonts w:hint="eastAsia"/>
        </w:rPr>
      </w:pPr>
      <w:r>
        <w:t xml:space="preserve">1、投标人按照本部分的顺序编制投标文件（资格证明文件）、投标文件（商务技术文件），编制中涉及格式资料的，应按照本部分提供的内容和格式（所有表格的格式可扩展）填写提交。</w:t>
      </w:r>
      <w:r/>
    </w:p>
    <w:p>
      <w:pPr>
        <w:ind w:left="142"/>
        <w:spacing w:line="360" w:lineRule="auto"/>
        <w:tabs>
          <w:tab w:val="left" w:pos="900" w:leader="none"/>
          <w:tab w:val="left" w:pos="1980" w:leader="none"/>
        </w:tabs>
        <w:rPr>
          <w:rFonts w:hint="eastAsia"/>
        </w:rPr>
      </w:pPr>
      <w: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b/>
        </w:rPr>
        <w:t xml:space="preserve">投标无效</w:t>
      </w:r>
      <w:r>
        <w:t xml:space="preserve">。未标记“实质性格式”的文件和招标文件未提供格式的内容，可由投标人自行编写。</w:t>
      </w:r>
      <w:r/>
    </w:p>
    <w:p>
      <w:pPr>
        <w:ind w:left="142"/>
        <w:spacing w:line="360" w:lineRule="auto"/>
        <w:tabs>
          <w:tab w:val="left" w:pos="900" w:leader="none"/>
          <w:tab w:val="left" w:pos="1980" w:leader="none"/>
        </w:tabs>
        <w:rPr>
          <w:rFonts w:hint="eastAsia"/>
        </w:rPr>
      </w:pPr>
      <w:r>
        <w:t xml:space="preserve">3、全部声明和问题的回答及所附材料必须是真实的、准确的和完整的。</w:t>
      </w:r>
      <w:r/>
    </w:p>
    <w:p>
      <w:pPr>
        <w:ind w:left="142"/>
        <w:spacing w:line="360" w:lineRule="auto"/>
        <w:tabs>
          <w:tab w:val="left" w:pos="900" w:leader="none"/>
          <w:tab w:val="left" w:pos="1980" w:leader="none"/>
        </w:tabs>
        <w:rPr>
          <w:rFonts w:hint="eastAsia"/>
        </w:rPr>
      </w:pPr>
      <w:r>
        <w:rPr>
          <w:rFonts w:hint="eastAsia"/>
        </w:rPr>
        <w:t xml:space="preserve">4、实行电子化不见面交易方式的，加盖公章、签名等均通过</w:t>
      </w:r>
      <w:r>
        <w:t xml:space="preserve">投标文件编制工具</w:t>
      </w:r>
      <w:r>
        <w:rPr>
          <w:rFonts w:hint="eastAsia"/>
        </w:rPr>
        <w:t xml:space="preserve">加盖电子公章、</w:t>
      </w:r>
      <w:r>
        <w:rPr>
          <w:szCs w:val="20"/>
        </w:rPr>
        <w:t xml:space="preserve">签字</w:t>
      </w:r>
      <w:r>
        <w:rPr>
          <w:rFonts w:hint="eastAsia"/>
          <w:szCs w:val="20"/>
        </w:rPr>
        <w:t xml:space="preserve">、签章</w:t>
      </w:r>
      <w:r>
        <w:rPr>
          <w:szCs w:val="20"/>
        </w:rPr>
        <w:t xml:space="preserve">或</w:t>
      </w:r>
      <w:r>
        <w:rPr>
          <w:rFonts w:hint="eastAsia"/>
          <w:szCs w:val="20"/>
        </w:rPr>
        <w:t xml:space="preserve">印鉴</w:t>
      </w:r>
      <w:r>
        <w:rPr>
          <w:rFonts w:hint="eastAsia"/>
        </w:rPr>
        <w:t xml:space="preserve">。</w:t>
      </w:r>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r/>
    </w:p>
    <w:p>
      <w:pPr>
        <w:rPr>
          <w:rFonts w:hint="eastAsia"/>
        </w:rPr>
      </w:pPr>
      <w:r>
        <w:rPr>
          <w:rFonts w:hint="eastAsia"/>
        </w:rPr>
      </w:r>
      <w:r/>
    </w:p>
    <w:p>
      <w:pPr>
        <w:pStyle w:val="907"/>
        <w:rPr>
          <w:rFonts w:hint="eastAsia" w:ascii="宋体" w:hAnsi="宋体"/>
          <w:color w:val="auto"/>
        </w:rPr>
      </w:pPr>
      <w:r>
        <w:rPr>
          <w:rFonts w:hint="eastAsia" w:ascii="宋体" w:hAnsi="宋体"/>
          <w:color w:val="auto"/>
        </w:rPr>
      </w:r>
      <w:r/>
    </w:p>
    <w:p>
      <w:pPr>
        <w:pStyle w:val="907"/>
        <w:rPr>
          <w:rFonts w:hint="eastAsia" w:ascii="宋体" w:hAnsi="宋体"/>
          <w:color w:val="auto"/>
        </w:rPr>
      </w:pPr>
      <w:r>
        <w:rPr>
          <w:rFonts w:hint="eastAsia" w:ascii="宋体" w:hAnsi="宋体"/>
          <w:color w:val="auto"/>
        </w:rPr>
      </w:r>
      <w:r/>
    </w:p>
    <w:p>
      <w:pPr>
        <w:pStyle w:val="907"/>
        <w:rPr>
          <w:rFonts w:hint="eastAsia" w:ascii="宋体" w:hAnsi="宋体"/>
          <w:color w:val="auto"/>
        </w:rPr>
      </w:pPr>
      <w:r>
        <w:rPr>
          <w:rFonts w:hint="eastAsia" w:ascii="宋体" w:hAnsi="宋体"/>
          <w:color w:val="auto"/>
        </w:rPr>
      </w:r>
      <w:r/>
    </w:p>
    <w:p>
      <w:pPr>
        <w:pStyle w:val="907"/>
        <w:rPr>
          <w:rFonts w:hint="eastAsia" w:ascii="宋体" w:hAnsi="宋体"/>
          <w:color w:val="auto"/>
        </w:rPr>
      </w:pPr>
      <w:r>
        <w:rPr>
          <w:rFonts w:hint="eastAsia" w:ascii="宋体" w:hAnsi="宋体"/>
          <w:color w:val="auto"/>
        </w:rPr>
      </w:r>
      <w:r/>
    </w:p>
    <w:p>
      <w:pPr>
        <w:pStyle w:val="907"/>
        <w:rPr>
          <w:rFonts w:hint="eastAsia" w:ascii="宋体" w:hAnsi="宋体"/>
          <w:color w:val="auto"/>
        </w:rPr>
      </w:pPr>
      <w:r>
        <w:rPr>
          <w:rFonts w:hint="eastAsia" w:ascii="宋体" w:hAnsi="宋体"/>
          <w:color w:val="auto"/>
        </w:rPr>
      </w:r>
      <w:r/>
    </w:p>
    <w:p>
      <w:pPr>
        <w:pStyle w:val="907"/>
        <w:rPr>
          <w:rFonts w:hint="eastAsia" w:ascii="宋体" w:hAnsi="宋体"/>
          <w:color w:val="auto"/>
        </w:rPr>
      </w:pPr>
      <w:r>
        <w:rPr>
          <w:rFonts w:hint="eastAsia" w:ascii="宋体" w:hAnsi="宋体"/>
          <w:color w:val="auto"/>
        </w:rPr>
      </w:r>
      <w:r/>
    </w:p>
    <w:p>
      <w:pPr>
        <w:pStyle w:val="907"/>
        <w:rPr>
          <w:rFonts w:hint="eastAsia" w:ascii="宋体" w:hAnsi="宋体"/>
          <w:color w:val="auto"/>
        </w:rPr>
      </w:pPr>
      <w:r>
        <w:rPr>
          <w:rFonts w:hint="eastAsia" w:ascii="宋体" w:hAnsi="宋体"/>
          <w:color w:val="auto"/>
        </w:rPr>
      </w:r>
      <w:r/>
    </w:p>
    <w:p>
      <w:pPr>
        <w:pStyle w:val="907"/>
        <w:rPr>
          <w:rFonts w:hint="eastAsia" w:ascii="宋体" w:hAnsi="宋体"/>
          <w:color w:val="auto"/>
        </w:rPr>
      </w:pPr>
      <w:r>
        <w:rPr>
          <w:rFonts w:hint="eastAsia" w:ascii="宋体" w:hAnsi="宋体"/>
          <w:color w:val="auto"/>
        </w:rPr>
      </w:r>
      <w:r/>
    </w:p>
    <w:p>
      <w:pPr>
        <w:pStyle w:val="907"/>
        <w:rPr>
          <w:rFonts w:hint="eastAsia" w:ascii="宋体" w:hAnsi="宋体"/>
          <w:color w:val="auto"/>
        </w:rPr>
      </w:pPr>
      <w:r>
        <w:rPr>
          <w:rFonts w:hint="eastAsia" w:ascii="宋体" w:hAnsi="宋体"/>
          <w:color w:val="auto"/>
        </w:rPr>
      </w:r>
      <w:r/>
    </w:p>
    <w:p>
      <w:pPr>
        <w:pStyle w:val="907"/>
        <w:rPr>
          <w:rFonts w:hint="eastAsia" w:ascii="宋体" w:hAnsi="宋体"/>
          <w:color w:val="auto"/>
        </w:rPr>
      </w:pPr>
      <w:r>
        <w:rPr>
          <w:rFonts w:hint="eastAsia" w:ascii="宋体" w:hAnsi="宋体"/>
          <w:color w:val="auto"/>
        </w:rPr>
      </w:r>
      <w:r/>
    </w:p>
    <w:p>
      <w:pPr>
        <w:pStyle w:val="907"/>
        <w:rPr>
          <w:rFonts w:hint="eastAsia" w:ascii="宋体" w:hAnsi="宋体"/>
          <w:color w:val="auto"/>
        </w:rPr>
      </w:pPr>
      <w:r>
        <w:rPr>
          <w:rFonts w:hint="eastAsia" w:ascii="宋体" w:hAnsi="宋体"/>
          <w:color w:val="auto"/>
        </w:rPr>
      </w:r>
      <w:r/>
    </w:p>
    <w:p>
      <w:pPr>
        <w:pStyle w:val="907"/>
        <w:rPr>
          <w:rFonts w:hint="eastAsia" w:ascii="宋体" w:hAnsi="宋体"/>
          <w:color w:val="auto"/>
        </w:rPr>
      </w:pPr>
      <w:r>
        <w:rPr>
          <w:rFonts w:hint="eastAsia" w:ascii="宋体" w:hAnsi="宋体"/>
          <w:color w:val="auto"/>
        </w:rPr>
      </w:r>
      <w:r/>
    </w:p>
    <w:p>
      <w:pPr>
        <w:pStyle w:val="907"/>
        <w:rPr>
          <w:rFonts w:hint="eastAsia" w:ascii="宋体" w:hAnsi="宋体"/>
          <w:color w:val="auto"/>
        </w:rPr>
      </w:pPr>
      <w:r>
        <w:rPr>
          <w:rFonts w:hint="eastAsia" w:ascii="宋体" w:hAnsi="宋体"/>
          <w:color w:val="auto"/>
        </w:rPr>
      </w:r>
      <w:r/>
    </w:p>
    <w:p>
      <w:pPr>
        <w:pStyle w:val="907"/>
        <w:rPr>
          <w:rFonts w:hint="eastAsia" w:ascii="宋体" w:hAnsi="宋体"/>
          <w:color w:val="auto"/>
        </w:rPr>
      </w:pPr>
      <w:r>
        <w:rPr>
          <w:rFonts w:hint="eastAsia" w:ascii="宋体" w:hAnsi="宋体"/>
          <w:color w:val="auto"/>
        </w:rPr>
      </w:r>
      <w:r/>
    </w:p>
    <w:p>
      <w:pPr>
        <w:pStyle w:val="907"/>
        <w:rPr>
          <w:rFonts w:hint="eastAsia" w:ascii="宋体" w:hAnsi="宋体"/>
          <w:color w:val="auto"/>
        </w:rPr>
      </w:pPr>
      <w:r>
        <w:rPr>
          <w:rFonts w:hint="eastAsia" w:ascii="宋体" w:hAnsi="宋体"/>
          <w:color w:val="auto"/>
        </w:rPr>
      </w:r>
      <w:r/>
    </w:p>
    <w:p>
      <w:pPr>
        <w:pStyle w:val="907"/>
        <w:rPr>
          <w:rFonts w:hint="eastAsia" w:ascii="宋体" w:hAnsi="宋体"/>
          <w:color w:val="auto"/>
        </w:rPr>
      </w:pPr>
      <w:r>
        <w:rPr>
          <w:rFonts w:hint="eastAsia" w:ascii="宋体" w:hAnsi="宋体"/>
          <w:color w:val="auto"/>
        </w:rPr>
      </w:r>
      <w:r/>
    </w:p>
    <w:p>
      <w:pPr>
        <w:pStyle w:val="907"/>
        <w:rPr>
          <w:rFonts w:hint="eastAsia" w:ascii="宋体" w:hAnsi="宋体"/>
          <w:color w:val="auto"/>
        </w:rPr>
      </w:pPr>
      <w:r>
        <w:rPr>
          <w:rFonts w:hint="eastAsia" w:ascii="宋体" w:hAnsi="宋体"/>
          <w:color w:val="auto"/>
        </w:rPr>
      </w:r>
      <w:r/>
    </w:p>
    <w:p>
      <w:pPr>
        <w:pStyle w:val="907"/>
        <w:rPr>
          <w:rFonts w:hint="eastAsia" w:ascii="宋体" w:hAnsi="宋体"/>
          <w:color w:val="auto"/>
        </w:rPr>
      </w:pPr>
      <w:r>
        <w:rPr>
          <w:rFonts w:hint="eastAsia" w:ascii="宋体" w:hAnsi="宋体"/>
          <w:color w:val="auto"/>
        </w:rPr>
      </w:r>
      <w:r/>
    </w:p>
    <w:p>
      <w:pPr>
        <w:pStyle w:val="907"/>
        <w:rPr>
          <w:rFonts w:hint="eastAsia" w:ascii="宋体" w:hAnsi="宋体"/>
          <w:color w:val="auto"/>
        </w:rPr>
      </w:pPr>
      <w:r>
        <w:rPr>
          <w:rFonts w:hint="eastAsia" w:ascii="宋体" w:hAnsi="宋体"/>
          <w:color w:val="auto"/>
        </w:rPr>
      </w:r>
      <w:r/>
    </w:p>
    <w:p>
      <w:pPr>
        <w:pStyle w:val="907"/>
        <w:rPr>
          <w:rFonts w:hint="eastAsia" w:ascii="宋体" w:hAnsi="宋体"/>
          <w:color w:val="auto"/>
        </w:rPr>
      </w:pPr>
      <w:r>
        <w:rPr>
          <w:rFonts w:hint="eastAsia" w:ascii="宋体" w:hAnsi="宋体"/>
          <w:color w:val="auto"/>
        </w:rPr>
      </w:r>
      <w:r/>
    </w:p>
    <w:p>
      <w:pPr>
        <w:pStyle w:val="907"/>
        <w:rPr>
          <w:rFonts w:hint="eastAsia" w:ascii="宋体" w:hAnsi="宋体"/>
          <w:color w:val="auto"/>
        </w:rPr>
      </w:pPr>
      <w:r>
        <w:rPr>
          <w:rFonts w:hint="eastAsia" w:ascii="宋体" w:hAnsi="宋体"/>
          <w:color w:val="auto"/>
        </w:rPr>
      </w:r>
      <w:r/>
    </w:p>
    <w:p>
      <w:pPr>
        <w:pStyle w:val="907"/>
        <w:rPr>
          <w:rFonts w:hint="eastAsia" w:ascii="宋体" w:hAnsi="宋体"/>
          <w:color w:val="auto"/>
        </w:rPr>
      </w:pPr>
      <w:r>
        <w:rPr>
          <w:rFonts w:hint="eastAsia" w:ascii="宋体" w:hAnsi="宋体"/>
          <w:color w:val="auto"/>
        </w:rPr>
      </w:r>
      <w:r/>
    </w:p>
    <w:p>
      <w:pPr>
        <w:pStyle w:val="907"/>
        <w:rPr>
          <w:rFonts w:hint="eastAsia" w:ascii="宋体" w:hAnsi="宋体"/>
          <w:color w:val="auto"/>
        </w:rPr>
      </w:pPr>
      <w:r>
        <w:rPr>
          <w:rFonts w:hint="eastAsia" w:ascii="宋体" w:hAnsi="宋体"/>
          <w:color w:val="auto"/>
        </w:rPr>
      </w:r>
      <w:r/>
    </w:p>
    <w:p>
      <w:pPr>
        <w:pStyle w:val="907"/>
        <w:rPr>
          <w:rFonts w:hint="eastAsia" w:ascii="宋体" w:hAnsi="宋体"/>
          <w:color w:val="auto"/>
        </w:rPr>
      </w:pPr>
      <w:r>
        <w:rPr>
          <w:rFonts w:hint="eastAsia" w:ascii="宋体" w:hAnsi="宋体"/>
          <w:color w:val="auto"/>
        </w:rPr>
      </w:r>
      <w:r/>
    </w:p>
    <w:p>
      <w:pPr>
        <w:jc w:val="center"/>
        <w:rPr>
          <w:rFonts w:hint="eastAsia"/>
          <w:b/>
          <w:sz w:val="32"/>
          <w:szCs w:val="32"/>
        </w:rPr>
      </w:pPr>
      <w:r>
        <w:rPr>
          <w:b/>
          <w:spacing w:val="20"/>
          <w:sz w:val="32"/>
          <w:szCs w:val="32"/>
        </w:rPr>
        <w:t xml:space="preserve">一</w:t>
      </w:r>
      <w:r>
        <w:rPr>
          <w:rFonts w:hint="eastAsia"/>
          <w:b/>
          <w:spacing w:val="20"/>
          <w:sz w:val="32"/>
          <w:szCs w:val="32"/>
        </w:rPr>
        <w:t xml:space="preserve">、</w:t>
      </w:r>
      <w:r>
        <w:rPr>
          <w:b/>
          <w:spacing w:val="20"/>
          <w:sz w:val="32"/>
          <w:szCs w:val="32"/>
        </w:rPr>
        <w:t xml:space="preserve">投标文件</w:t>
      </w:r>
      <w:r>
        <w:rPr>
          <w:b/>
          <w:sz w:val="32"/>
          <w:szCs w:val="32"/>
        </w:rPr>
        <w:t xml:space="preserve">封面</w:t>
      </w:r>
      <w:r/>
    </w:p>
    <w:p>
      <w:pPr>
        <w:jc w:val="center"/>
        <w:rPr>
          <w:rFonts w:hint="eastAsia"/>
          <w:szCs w:val="21"/>
        </w:rPr>
      </w:pPr>
      <w:r>
        <w:rPr>
          <w:rFonts w:hint="eastAsia"/>
          <w:szCs w:val="21"/>
        </w:rPr>
      </w:r>
      <w:r/>
    </w:p>
    <w:p>
      <w:pPr>
        <w:jc w:val="center"/>
        <w:rPr>
          <w:rFonts w:hint="eastAsia"/>
          <w:b/>
          <w:spacing w:val="60"/>
          <w:sz w:val="84"/>
          <w:szCs w:val="84"/>
        </w:rPr>
      </w:pPr>
      <w:r>
        <w:rPr>
          <w:rFonts w:hint="eastAsia"/>
          <w:b/>
          <w:spacing w:val="60"/>
          <w:sz w:val="84"/>
          <w:szCs w:val="84"/>
        </w:rPr>
      </w:r>
      <w:r/>
    </w:p>
    <w:p>
      <w:pPr>
        <w:jc w:val="center"/>
        <w:rPr>
          <w:rFonts w:hint="eastAsia"/>
          <w:b/>
          <w:spacing w:val="60"/>
          <w:sz w:val="84"/>
          <w:szCs w:val="84"/>
        </w:rPr>
      </w:pPr>
      <w:r>
        <w:rPr>
          <w:b/>
          <w:spacing w:val="60"/>
          <w:sz w:val="84"/>
          <w:szCs w:val="84"/>
        </w:rPr>
        <w:t xml:space="preserve">投 标 文 件</w:t>
      </w:r>
      <w:r/>
    </w:p>
    <w:p>
      <w:pPr>
        <w:ind w:firstLine="963"/>
        <w:rPr>
          <w:rFonts w:hint="eastAsia"/>
          <w:b/>
          <w:spacing w:val="60"/>
          <w:sz w:val="52"/>
          <w:szCs w:val="52"/>
        </w:rPr>
      </w:pPr>
      <w:r>
        <w:rPr>
          <w:rFonts w:hint="eastAsia"/>
          <w:b/>
          <w:spacing w:val="60"/>
          <w:sz w:val="52"/>
          <w:szCs w:val="52"/>
        </w:rPr>
      </w:r>
      <w:r/>
    </w:p>
    <w:p>
      <w:pPr>
        <w:ind w:firstLine="963"/>
        <w:rPr>
          <w:rFonts w:hint="eastAsia"/>
          <w:b/>
          <w:spacing w:val="60"/>
          <w:sz w:val="52"/>
          <w:szCs w:val="52"/>
        </w:rPr>
      </w:pPr>
      <w:r>
        <w:rPr>
          <w:rFonts w:hint="eastAsia"/>
          <w:b/>
          <w:spacing w:val="60"/>
          <w:sz w:val="52"/>
          <w:szCs w:val="52"/>
        </w:rPr>
      </w:r>
      <w:r/>
    </w:p>
    <w:p>
      <w:pPr>
        <w:pStyle w:val="907"/>
        <w:rPr>
          <w:rFonts w:hint="eastAsia" w:ascii="宋体" w:hAnsi="宋体"/>
          <w:color w:val="auto"/>
        </w:rPr>
      </w:pPr>
      <w:r>
        <w:rPr>
          <w:rFonts w:hint="eastAsia" w:ascii="宋体" w:hAnsi="宋体"/>
          <w:color w:val="auto"/>
        </w:rPr>
      </w:r>
      <w:r/>
    </w:p>
    <w:p>
      <w:pPr>
        <w:pStyle w:val="907"/>
        <w:rPr>
          <w:rFonts w:hint="eastAsia" w:ascii="宋体" w:hAnsi="宋体"/>
          <w:color w:val="auto"/>
        </w:rPr>
      </w:pPr>
      <w:r>
        <w:rPr>
          <w:rFonts w:hint="eastAsia" w:ascii="宋体" w:hAnsi="宋体"/>
          <w:color w:val="auto"/>
        </w:rPr>
      </w:r>
      <w:r/>
    </w:p>
    <w:p>
      <w:pPr>
        <w:pStyle w:val="907"/>
        <w:rPr>
          <w:rFonts w:hint="eastAsia" w:ascii="宋体" w:hAnsi="宋体"/>
          <w:color w:val="auto"/>
        </w:rPr>
      </w:pPr>
      <w:r>
        <w:rPr>
          <w:rFonts w:hint="eastAsia" w:ascii="宋体" w:hAnsi="宋体"/>
          <w:color w:val="auto"/>
        </w:rPr>
      </w:r>
      <w:r/>
    </w:p>
    <w:p>
      <w:pPr>
        <w:ind w:firstLine="542"/>
        <w:rPr>
          <w:rFonts w:hint="eastAsia"/>
          <w:b/>
          <w:spacing w:val="20"/>
          <w:sz w:val="32"/>
          <w:szCs w:val="32"/>
        </w:rPr>
      </w:pPr>
      <w:r>
        <w:rPr>
          <w:rFonts w:hint="eastAsia"/>
          <w:b/>
          <w:spacing w:val="20"/>
          <w:sz w:val="32"/>
          <w:szCs w:val="32"/>
        </w:rPr>
      </w:r>
      <w:r/>
    </w:p>
    <w:p>
      <w:pPr>
        <w:ind w:firstLine="542"/>
        <w:rPr>
          <w:rFonts w:hint="eastAsia"/>
          <w:b/>
          <w:spacing w:val="20"/>
          <w:sz w:val="32"/>
          <w:szCs w:val="32"/>
        </w:rPr>
      </w:pPr>
      <w:r>
        <w:rPr>
          <w:rFonts w:hint="eastAsia"/>
          <w:b/>
          <w:spacing w:val="20"/>
          <w:sz w:val="32"/>
          <w:szCs w:val="32"/>
        </w:rPr>
      </w:r>
      <w:r/>
    </w:p>
    <w:p>
      <w:pPr>
        <w:ind w:firstLine="1446"/>
        <w:rPr>
          <w:rFonts w:hint="eastAsia"/>
          <w:b/>
          <w:sz w:val="36"/>
        </w:rPr>
      </w:pPr>
      <w:r>
        <w:rPr>
          <w:rFonts w:hint="eastAsia"/>
          <w:b/>
          <w:sz w:val="36"/>
        </w:rPr>
        <w:t xml:space="preserve">项 目 名 称：</w:t>
      </w:r>
      <w:r>
        <w:rPr>
          <w:rFonts w:hint="eastAsia"/>
          <w:b/>
          <w:sz w:val="36"/>
          <w:u w:val="single"/>
        </w:rPr>
        <w:t xml:space="preserve">               </w:t>
      </w:r>
      <w:r/>
    </w:p>
    <w:p>
      <w:pPr>
        <w:ind w:firstLine="1446"/>
        <w:rPr>
          <w:rFonts w:hint="eastAsia"/>
          <w:b/>
          <w:sz w:val="36"/>
          <w:u w:val="single"/>
        </w:rPr>
      </w:pPr>
      <w:r>
        <w:rPr>
          <w:rFonts w:hint="eastAsia"/>
          <w:b/>
          <w:sz w:val="36"/>
        </w:rPr>
        <w:t xml:space="preserve">项 目 编 号：</w:t>
      </w:r>
      <w:r>
        <w:rPr>
          <w:rFonts w:hint="eastAsia"/>
          <w:b/>
          <w:sz w:val="36"/>
          <w:u w:val="single"/>
        </w:rPr>
        <w:t xml:space="preserve">               </w:t>
      </w:r>
      <w:r/>
    </w:p>
    <w:p>
      <w:pPr>
        <w:rPr>
          <w:rFonts w:hint="eastAsia"/>
          <w:b/>
          <w:sz w:val="36"/>
          <w:u w:val="single"/>
        </w:rPr>
      </w:pPr>
      <w:r>
        <w:rPr>
          <w:rFonts w:hint="eastAsia"/>
          <w:b/>
          <w:sz w:val="36"/>
        </w:rPr>
        <w:t xml:space="preserve">      </w:t>
      </w:r>
      <w:r>
        <w:rPr>
          <w:b/>
          <w:sz w:val="36"/>
        </w:rPr>
        <w:t xml:space="preserve">  </w:t>
      </w:r>
      <w:r>
        <w:rPr>
          <w:rFonts w:hint="eastAsia"/>
          <w:b/>
          <w:sz w:val="36"/>
        </w:rPr>
        <w:t xml:space="preserve">投标人名称 ：</w:t>
      </w:r>
      <w:r>
        <w:rPr>
          <w:rFonts w:hint="eastAsia"/>
          <w:b/>
          <w:sz w:val="36"/>
          <w:szCs w:val="21"/>
          <w:u w:val="single"/>
        </w:rPr>
        <w:t xml:space="preserve">（加盖CA电子公章）</w:t>
      </w:r>
      <w:r/>
    </w:p>
    <w:p>
      <w:pPr>
        <w:rPr>
          <w:rFonts w:hint="eastAsia"/>
          <w:b/>
          <w:sz w:val="36"/>
        </w:rPr>
      </w:pPr>
      <w:r>
        <w:rPr>
          <w:rFonts w:hint="eastAsia"/>
          <w:b/>
          <w:sz w:val="36"/>
        </w:rPr>
        <w:t xml:space="preserve">      </w:t>
      </w:r>
      <w:r>
        <w:rPr>
          <w:b/>
          <w:sz w:val="36"/>
        </w:rPr>
        <w:t xml:space="preserve">  </w:t>
      </w:r>
      <w:r>
        <w:rPr>
          <w:rFonts w:hint="eastAsia"/>
          <w:b/>
          <w:sz w:val="36"/>
        </w:rPr>
        <w:t xml:space="preserve">日      期 ：</w:t>
      </w:r>
      <w:r>
        <w:rPr>
          <w:rFonts w:hint="eastAsia"/>
          <w:b/>
          <w:sz w:val="36"/>
          <w:u w:val="single"/>
        </w:rPr>
        <w:t xml:space="preserve">               </w:t>
      </w:r>
      <w:r/>
    </w:p>
    <w:p>
      <w:pPr>
        <w:jc w:val="center"/>
        <w:rPr>
          <w:rFonts w:hint="eastAsia"/>
          <w:b/>
          <w:sz w:val="32"/>
          <w:szCs w:val="32"/>
        </w:rPr>
      </w:pPr>
      <w:r>
        <w:rPr>
          <w:rFonts w:hint="eastAsia"/>
          <w:b/>
          <w:sz w:val="32"/>
          <w:szCs w:val="32"/>
        </w:rPr>
      </w:r>
      <w:r/>
    </w:p>
    <w:p>
      <w:pPr>
        <w:ind w:firstLine="1806"/>
        <w:rPr>
          <w:rFonts w:hint="eastAsia"/>
          <w:b/>
          <w:spacing w:val="20"/>
          <w:sz w:val="32"/>
          <w:szCs w:val="32"/>
        </w:rPr>
      </w:pPr>
      <w:r>
        <w:rPr>
          <w:b/>
          <w:spacing w:val="20"/>
          <w:sz w:val="32"/>
          <w:szCs w:val="32"/>
        </w:rPr>
        <w:br w:type="page" w:clear="all"/>
      </w:r>
      <w:r>
        <w:rPr>
          <w:rFonts w:hint="eastAsia"/>
          <w:b/>
          <w:spacing w:val="20"/>
          <w:sz w:val="32"/>
          <w:szCs w:val="32"/>
        </w:rPr>
        <w:t xml:space="preserve">二、开标</w:t>
      </w:r>
      <w:r>
        <w:rPr>
          <w:b/>
          <w:spacing w:val="20"/>
          <w:sz w:val="32"/>
          <w:szCs w:val="32"/>
        </w:rPr>
        <w:t xml:space="preserve">一览表</w:t>
      </w:r>
      <w:r>
        <w:rPr>
          <w:b/>
          <w:spacing w:val="20"/>
          <w:sz w:val="32"/>
          <w:szCs w:val="32"/>
        </w:rPr>
        <w:t xml:space="preserve">（实质性格式）</w:t>
      </w:r>
      <w:r/>
    </w:p>
    <w:p>
      <w:pPr>
        <w:pStyle w:val="927"/>
        <w:ind w:firstLine="482"/>
        <w:spacing w:line="360" w:lineRule="auto"/>
        <w:rPr>
          <w:rFonts w:hint="eastAsia"/>
          <w:b/>
        </w:rPr>
      </w:pPr>
      <w:r>
        <w:rPr>
          <w:rFonts w:hint="eastAsia"/>
          <w:b/>
        </w:rPr>
        <w:t xml:space="preserve">投标人在提交投标文件时，应按照投标工具（</w:t>
      </w:r>
      <w:r>
        <w:rPr>
          <w:rFonts w:hint="eastAsia"/>
          <w:b/>
        </w:rPr>
        <w:t xml:space="preserve">苏</w:t>
      </w:r>
      <w:r>
        <w:rPr>
          <w:rFonts w:hint="eastAsia"/>
          <w:b/>
        </w:rPr>
        <w:t xml:space="preserve">采</w:t>
      </w:r>
      <w:r>
        <w:rPr>
          <w:rFonts w:hint="eastAsia"/>
          <w:b/>
        </w:rPr>
        <w:t xml:space="preserve">云</w:t>
      </w:r>
      <w:r>
        <w:rPr>
          <w:rFonts w:hint="eastAsia"/>
          <w:b/>
        </w:rPr>
        <w:t xml:space="preserve">客户端）的提示流程编制提交开标一览表，开标一览表格式以投标工具中的为准。</w:t>
      </w:r>
      <w:r/>
    </w:p>
    <w:p>
      <w:pPr>
        <w:pStyle w:val="907"/>
        <w:rPr>
          <w:rFonts w:hint="eastAsia" w:ascii="宋体" w:hAnsi="宋体"/>
          <w:color w:val="auto"/>
        </w:rPr>
      </w:pPr>
      <w:r>
        <w:rPr>
          <w:rFonts w:hint="eastAsia" w:ascii="宋体" w:hAnsi="宋体"/>
          <w:color w:val="auto"/>
        </w:rPr>
      </w:r>
      <w:r/>
    </w:p>
    <w:p>
      <w:pPr>
        <w:pStyle w:val="907"/>
        <w:rPr>
          <w:rFonts w:hint="eastAsia" w:ascii="宋体" w:hAnsi="宋体"/>
          <w:color w:val="auto"/>
        </w:rPr>
      </w:pPr>
      <w:r>
        <w:rPr>
          <w:rFonts w:hint="eastAsia" w:ascii="宋体" w:hAnsi="宋体"/>
          <w:color w:val="auto"/>
        </w:rPr>
      </w:r>
      <w:r/>
    </w:p>
    <w:p>
      <w:pPr>
        <w:pStyle w:val="907"/>
        <w:rPr>
          <w:rFonts w:hint="eastAsia" w:ascii="宋体" w:hAnsi="宋体"/>
          <w:color w:val="auto"/>
        </w:rPr>
      </w:pPr>
      <w:r>
        <w:rPr>
          <w:rFonts w:hint="eastAsia" w:ascii="宋体" w:hAnsi="宋体"/>
          <w:color w:val="auto"/>
        </w:rPr>
      </w:r>
      <w:r/>
    </w:p>
    <w:p>
      <w:pPr>
        <w:pStyle w:val="907"/>
        <w:rPr>
          <w:rFonts w:hint="eastAsia" w:ascii="宋体" w:hAnsi="宋体"/>
          <w:color w:val="auto"/>
        </w:rPr>
      </w:pPr>
      <w:r>
        <w:rPr>
          <w:rFonts w:hint="eastAsia" w:ascii="宋体" w:hAnsi="宋体"/>
          <w:color w:val="auto"/>
        </w:rPr>
      </w:r>
      <w:r/>
    </w:p>
    <w:p>
      <w:pPr>
        <w:pStyle w:val="907"/>
        <w:rPr>
          <w:rFonts w:hint="eastAsia" w:ascii="宋体" w:hAnsi="宋体"/>
          <w:color w:val="auto"/>
        </w:rPr>
      </w:pPr>
      <w:r>
        <w:rPr>
          <w:rFonts w:hint="eastAsia" w:ascii="宋体" w:hAnsi="宋体"/>
          <w:color w:val="auto"/>
        </w:rPr>
      </w:r>
      <w:r/>
    </w:p>
    <w:p>
      <w:pPr>
        <w:pStyle w:val="907"/>
        <w:rPr>
          <w:rFonts w:hint="eastAsia" w:ascii="宋体" w:hAnsi="宋体"/>
          <w:color w:val="auto"/>
        </w:rPr>
      </w:pPr>
      <w:r>
        <w:rPr>
          <w:rFonts w:hint="eastAsia" w:ascii="宋体" w:hAnsi="宋体"/>
          <w:color w:val="auto"/>
        </w:rPr>
      </w:r>
      <w:r/>
    </w:p>
    <w:p>
      <w:pPr>
        <w:pStyle w:val="907"/>
        <w:rPr>
          <w:rFonts w:hint="eastAsia" w:ascii="宋体" w:hAnsi="宋体"/>
          <w:color w:val="auto"/>
        </w:rPr>
      </w:pPr>
      <w:r>
        <w:rPr>
          <w:rFonts w:hint="eastAsia" w:ascii="宋体" w:hAnsi="宋体"/>
          <w:color w:val="auto"/>
        </w:rPr>
      </w:r>
      <w:r/>
    </w:p>
    <w:p>
      <w:pPr>
        <w:pStyle w:val="907"/>
        <w:rPr>
          <w:rFonts w:hint="eastAsia" w:ascii="宋体" w:hAnsi="宋体"/>
          <w:color w:val="auto"/>
        </w:rPr>
      </w:pPr>
      <w:r>
        <w:rPr>
          <w:rFonts w:hint="eastAsia" w:ascii="宋体" w:hAnsi="宋体"/>
          <w:color w:val="auto"/>
        </w:rPr>
      </w:r>
      <w:r/>
    </w:p>
    <w:p>
      <w:pPr>
        <w:pStyle w:val="907"/>
        <w:rPr>
          <w:rFonts w:hint="eastAsia" w:ascii="宋体" w:hAnsi="宋体"/>
          <w:color w:val="auto"/>
        </w:rPr>
      </w:pPr>
      <w:r>
        <w:rPr>
          <w:rFonts w:hint="eastAsia" w:ascii="宋体" w:hAnsi="宋体"/>
          <w:color w:val="auto"/>
        </w:rPr>
      </w:r>
      <w:r/>
    </w:p>
    <w:p>
      <w:pPr>
        <w:pStyle w:val="907"/>
        <w:rPr>
          <w:rFonts w:hint="eastAsia" w:ascii="宋体" w:hAnsi="宋体"/>
          <w:color w:val="auto"/>
        </w:rPr>
      </w:pPr>
      <w:r>
        <w:rPr>
          <w:rFonts w:hint="eastAsia" w:ascii="宋体" w:hAnsi="宋体"/>
          <w:color w:val="auto"/>
        </w:rPr>
      </w:r>
      <w:r/>
    </w:p>
    <w:p>
      <w:pPr>
        <w:pStyle w:val="907"/>
        <w:rPr>
          <w:rFonts w:hint="eastAsia" w:ascii="宋体" w:hAnsi="宋体"/>
          <w:color w:val="auto"/>
        </w:rPr>
      </w:pPr>
      <w:r>
        <w:rPr>
          <w:rFonts w:hint="eastAsia" w:ascii="宋体" w:hAnsi="宋体"/>
          <w:color w:val="auto"/>
        </w:rPr>
      </w:r>
      <w:r/>
    </w:p>
    <w:p>
      <w:pPr>
        <w:pStyle w:val="907"/>
        <w:rPr>
          <w:rFonts w:hint="eastAsia" w:ascii="宋体" w:hAnsi="宋体"/>
          <w:color w:val="auto"/>
        </w:rPr>
      </w:pPr>
      <w:r>
        <w:rPr>
          <w:rFonts w:hint="eastAsia" w:ascii="宋体" w:hAnsi="宋体"/>
          <w:color w:val="auto"/>
        </w:rPr>
      </w:r>
      <w:r/>
    </w:p>
    <w:p>
      <w:pPr>
        <w:pStyle w:val="907"/>
        <w:rPr>
          <w:rFonts w:hint="eastAsia" w:ascii="宋体" w:hAnsi="宋体"/>
          <w:color w:val="auto"/>
        </w:rPr>
      </w:pPr>
      <w:r>
        <w:rPr>
          <w:rFonts w:hint="eastAsia" w:ascii="宋体" w:hAnsi="宋体"/>
          <w:color w:val="auto"/>
        </w:rPr>
      </w:r>
      <w:r/>
    </w:p>
    <w:p>
      <w:pPr>
        <w:pStyle w:val="907"/>
        <w:rPr>
          <w:rFonts w:hint="eastAsia" w:ascii="宋体" w:hAnsi="宋体"/>
          <w:color w:val="auto"/>
        </w:rPr>
      </w:pPr>
      <w:r>
        <w:rPr>
          <w:rFonts w:hint="eastAsia" w:ascii="宋体" w:hAnsi="宋体"/>
          <w:color w:val="auto"/>
        </w:rPr>
      </w:r>
      <w:r/>
    </w:p>
    <w:p>
      <w:pPr>
        <w:pStyle w:val="907"/>
        <w:rPr>
          <w:rFonts w:hint="eastAsia" w:ascii="宋体" w:hAnsi="宋体"/>
          <w:color w:val="auto"/>
        </w:rPr>
      </w:pPr>
      <w:r>
        <w:rPr>
          <w:rFonts w:hint="eastAsia" w:ascii="宋体" w:hAnsi="宋体"/>
          <w:color w:val="auto"/>
        </w:rPr>
      </w:r>
      <w:r/>
    </w:p>
    <w:p>
      <w:pPr>
        <w:pStyle w:val="907"/>
        <w:rPr>
          <w:rFonts w:hint="eastAsia" w:ascii="宋体" w:hAnsi="宋体"/>
          <w:color w:val="auto"/>
        </w:rPr>
      </w:pPr>
      <w:r>
        <w:rPr>
          <w:rFonts w:hint="eastAsia" w:ascii="宋体" w:hAnsi="宋体"/>
          <w:color w:val="auto"/>
        </w:rPr>
      </w:r>
      <w:r/>
    </w:p>
    <w:p>
      <w:pPr>
        <w:pStyle w:val="907"/>
        <w:rPr>
          <w:rFonts w:hint="eastAsia" w:ascii="宋体" w:hAnsi="宋体"/>
          <w:color w:val="auto"/>
        </w:rPr>
      </w:pPr>
      <w:r>
        <w:rPr>
          <w:rFonts w:hint="eastAsia" w:ascii="宋体" w:hAnsi="宋体"/>
          <w:color w:val="auto"/>
        </w:rPr>
      </w:r>
      <w:r/>
    </w:p>
    <w:p>
      <w:pPr>
        <w:pStyle w:val="907"/>
        <w:rPr>
          <w:rFonts w:hint="eastAsia" w:ascii="宋体" w:hAnsi="宋体"/>
          <w:color w:val="auto"/>
        </w:rPr>
      </w:pPr>
      <w:r>
        <w:rPr>
          <w:rFonts w:hint="eastAsia" w:ascii="宋体" w:hAnsi="宋体"/>
          <w:color w:val="auto"/>
        </w:rPr>
      </w:r>
      <w:r/>
    </w:p>
    <w:p>
      <w:pPr>
        <w:pStyle w:val="907"/>
        <w:rPr>
          <w:rFonts w:hint="eastAsia" w:ascii="宋体" w:hAnsi="宋体"/>
          <w:color w:val="auto"/>
        </w:rPr>
      </w:pPr>
      <w:r>
        <w:rPr>
          <w:rFonts w:hint="eastAsia" w:ascii="宋体" w:hAnsi="宋体"/>
          <w:color w:val="auto"/>
        </w:rPr>
      </w:r>
      <w:r/>
    </w:p>
    <w:p>
      <w:pPr>
        <w:pStyle w:val="907"/>
        <w:rPr>
          <w:rFonts w:hint="eastAsia" w:ascii="宋体" w:hAnsi="宋体"/>
          <w:color w:val="auto"/>
        </w:rPr>
      </w:pPr>
      <w:r>
        <w:rPr>
          <w:rFonts w:hint="eastAsia" w:ascii="宋体" w:hAnsi="宋体"/>
          <w:color w:val="auto"/>
        </w:rPr>
      </w:r>
      <w:r/>
    </w:p>
    <w:p>
      <w:pPr>
        <w:pStyle w:val="907"/>
        <w:rPr>
          <w:rFonts w:hint="eastAsia" w:ascii="宋体" w:hAnsi="宋体"/>
          <w:color w:val="auto"/>
        </w:rPr>
      </w:pPr>
      <w:r>
        <w:rPr>
          <w:rFonts w:hint="eastAsia" w:ascii="宋体" w:hAnsi="宋体"/>
          <w:color w:val="auto"/>
        </w:rPr>
      </w:r>
      <w:r/>
    </w:p>
    <w:p>
      <w:pPr>
        <w:pStyle w:val="907"/>
        <w:rPr>
          <w:rFonts w:hint="eastAsia" w:ascii="宋体" w:hAnsi="宋体"/>
          <w:color w:val="auto"/>
        </w:rPr>
      </w:pPr>
      <w:r>
        <w:rPr>
          <w:rFonts w:hint="eastAsia" w:ascii="宋体" w:hAnsi="宋体"/>
          <w:color w:val="auto"/>
        </w:rPr>
      </w:r>
      <w:r/>
    </w:p>
    <w:p>
      <w:pPr>
        <w:pStyle w:val="907"/>
        <w:rPr>
          <w:rFonts w:hint="eastAsia" w:ascii="宋体" w:hAnsi="宋体"/>
          <w:color w:val="auto"/>
        </w:rPr>
      </w:pPr>
      <w:r>
        <w:rPr>
          <w:rFonts w:hint="eastAsia" w:ascii="宋体" w:hAnsi="宋体"/>
          <w:color w:val="auto"/>
        </w:rPr>
      </w:r>
      <w:r/>
    </w:p>
    <w:p>
      <w:pPr>
        <w:pStyle w:val="907"/>
        <w:rPr>
          <w:rFonts w:hint="eastAsia" w:ascii="宋体" w:hAnsi="宋体"/>
          <w:color w:val="auto"/>
        </w:rPr>
      </w:pPr>
      <w:r>
        <w:rPr>
          <w:rFonts w:hint="eastAsia" w:ascii="宋体" w:hAnsi="宋体"/>
          <w:color w:val="auto"/>
        </w:rPr>
      </w:r>
      <w:r/>
    </w:p>
    <w:p>
      <w:pPr>
        <w:pStyle w:val="907"/>
        <w:rPr>
          <w:rFonts w:hint="eastAsia" w:ascii="宋体" w:hAnsi="宋体"/>
          <w:color w:val="auto"/>
        </w:rPr>
      </w:pPr>
      <w:r>
        <w:rPr>
          <w:rFonts w:hint="eastAsia" w:ascii="宋体" w:hAnsi="宋体"/>
          <w:color w:val="auto"/>
        </w:rPr>
      </w:r>
      <w:r/>
    </w:p>
    <w:p>
      <w:pPr>
        <w:pStyle w:val="907"/>
        <w:rPr>
          <w:rFonts w:hint="eastAsia" w:ascii="宋体" w:hAnsi="宋体"/>
          <w:color w:val="auto"/>
        </w:rPr>
      </w:pPr>
      <w:r>
        <w:rPr>
          <w:rFonts w:hint="eastAsia" w:ascii="宋体" w:hAnsi="宋体"/>
          <w:color w:val="auto"/>
        </w:rPr>
      </w:r>
      <w:r/>
    </w:p>
    <w:p>
      <w:pPr>
        <w:pStyle w:val="907"/>
        <w:rPr>
          <w:rFonts w:hint="eastAsia" w:ascii="宋体" w:hAnsi="宋体"/>
          <w:color w:val="auto"/>
        </w:rPr>
      </w:pPr>
      <w:r>
        <w:rPr>
          <w:rFonts w:hint="eastAsia" w:ascii="宋体" w:hAnsi="宋体"/>
          <w:color w:val="auto"/>
        </w:rPr>
      </w:r>
      <w:r/>
    </w:p>
    <w:p>
      <w:pPr>
        <w:pStyle w:val="907"/>
        <w:rPr>
          <w:rFonts w:hint="eastAsia" w:ascii="宋体" w:hAnsi="宋体"/>
          <w:color w:val="auto"/>
        </w:rPr>
      </w:pPr>
      <w:r>
        <w:rPr>
          <w:rFonts w:hint="eastAsia" w:ascii="宋体" w:hAnsi="宋体"/>
          <w:color w:val="auto"/>
        </w:rPr>
      </w:r>
      <w:r/>
    </w:p>
    <w:p>
      <w:pPr>
        <w:pStyle w:val="907"/>
        <w:rPr>
          <w:rFonts w:hint="eastAsia" w:ascii="宋体" w:hAnsi="宋体"/>
          <w:color w:val="auto"/>
        </w:rPr>
      </w:pPr>
      <w:r>
        <w:rPr>
          <w:rFonts w:hint="eastAsia" w:ascii="宋体" w:hAnsi="宋体"/>
          <w:color w:val="auto"/>
        </w:rPr>
      </w:r>
      <w:r/>
    </w:p>
    <w:p>
      <w:pPr>
        <w:pStyle w:val="907"/>
        <w:rPr>
          <w:rFonts w:hint="eastAsia" w:ascii="宋体" w:hAnsi="宋体"/>
          <w:color w:val="auto"/>
        </w:rPr>
      </w:pPr>
      <w:r>
        <w:rPr>
          <w:rFonts w:hint="eastAsia" w:ascii="宋体" w:hAnsi="宋体"/>
          <w:color w:val="auto"/>
        </w:rPr>
      </w:r>
      <w:r/>
    </w:p>
    <w:p>
      <w:pPr>
        <w:pStyle w:val="907"/>
        <w:rPr>
          <w:rFonts w:hint="eastAsia" w:ascii="宋体" w:hAnsi="宋体"/>
          <w:color w:val="auto"/>
        </w:rPr>
      </w:pPr>
      <w:r>
        <w:rPr>
          <w:rFonts w:hint="eastAsia" w:ascii="宋体" w:hAnsi="宋体"/>
          <w:color w:val="auto"/>
        </w:rPr>
      </w:r>
      <w:r/>
    </w:p>
    <w:p>
      <w:pPr>
        <w:pStyle w:val="907"/>
        <w:rPr>
          <w:rFonts w:hint="eastAsia" w:ascii="宋体" w:hAnsi="宋体"/>
          <w:color w:val="auto"/>
        </w:rPr>
      </w:pPr>
      <w:r>
        <w:rPr>
          <w:rFonts w:hint="eastAsia" w:ascii="宋体" w:hAnsi="宋体"/>
          <w:color w:val="auto"/>
        </w:rPr>
      </w:r>
      <w:r/>
    </w:p>
    <w:p>
      <w:pPr>
        <w:pStyle w:val="907"/>
        <w:rPr>
          <w:rFonts w:hint="eastAsia" w:ascii="宋体" w:hAnsi="宋体"/>
          <w:color w:val="auto"/>
        </w:rPr>
      </w:pPr>
      <w:r>
        <w:rPr>
          <w:rFonts w:hint="eastAsia" w:ascii="宋体" w:hAnsi="宋体"/>
          <w:color w:val="auto"/>
        </w:rPr>
      </w:r>
      <w:r/>
    </w:p>
    <w:p>
      <w:pPr>
        <w:pStyle w:val="907"/>
        <w:rPr>
          <w:rFonts w:hint="eastAsia" w:ascii="宋体" w:hAnsi="宋体"/>
          <w:color w:val="auto"/>
        </w:rPr>
      </w:pPr>
      <w:r>
        <w:rPr>
          <w:rFonts w:hint="eastAsia" w:ascii="宋体" w:hAnsi="宋体"/>
          <w:color w:val="auto"/>
        </w:rPr>
      </w:r>
      <w:r/>
    </w:p>
    <w:p>
      <w:pPr>
        <w:pStyle w:val="907"/>
        <w:rPr>
          <w:rFonts w:hint="eastAsia" w:ascii="宋体" w:hAnsi="宋体"/>
          <w:color w:val="auto"/>
        </w:rPr>
      </w:pPr>
      <w:r>
        <w:rPr>
          <w:rFonts w:hint="eastAsia" w:ascii="宋体" w:hAnsi="宋体"/>
          <w:color w:val="auto"/>
        </w:rPr>
      </w:r>
      <w:r/>
    </w:p>
    <w:p>
      <w:pPr>
        <w:pStyle w:val="907"/>
        <w:rPr>
          <w:rFonts w:hint="eastAsia" w:ascii="宋体" w:hAnsi="宋体"/>
          <w:color w:val="auto"/>
        </w:rPr>
      </w:pPr>
      <w:r>
        <w:rPr>
          <w:rFonts w:hint="eastAsia" w:ascii="宋体" w:hAnsi="宋体"/>
          <w:color w:val="auto"/>
        </w:rPr>
      </w:r>
      <w:r/>
    </w:p>
    <w:p>
      <w:pPr>
        <w:pStyle w:val="907"/>
        <w:rPr>
          <w:rFonts w:hint="eastAsia" w:ascii="宋体" w:hAnsi="宋体"/>
          <w:color w:val="auto"/>
        </w:rPr>
      </w:pPr>
      <w:r>
        <w:rPr>
          <w:rFonts w:hint="eastAsia" w:ascii="宋体" w:hAnsi="宋体"/>
          <w:color w:val="auto"/>
        </w:rPr>
      </w:r>
      <w:r/>
    </w:p>
    <w:p>
      <w:pPr>
        <w:jc w:val="center"/>
        <w:keepLines/>
        <w:keepNext/>
        <w:spacing w:after="120" w:line="360" w:lineRule="auto"/>
        <w:rPr>
          <w:rFonts w:hint="eastAsia"/>
          <w:b/>
          <w:spacing w:val="20"/>
          <w:sz w:val="32"/>
          <w:szCs w:val="32"/>
        </w:rPr>
        <w:sectPr>
          <w:footnotePr/>
          <w:endnotePr/>
          <w:type w:val="nextPage"/>
          <w:pgSz w:w="11906" w:h="16838" w:orient="portrait"/>
          <w:pgMar w:top="1440" w:right="1080" w:bottom="1440" w:left="1080" w:header="851" w:footer="992" w:gutter="0"/>
          <w:cols w:num="1" w:sep="0" w:space="720" w:equalWidth="1"/>
          <w:docGrid w:linePitch="360"/>
        </w:sectPr>
        <w:outlineLvl w:val="0"/>
      </w:pPr>
      <w:r/>
      <w:bookmarkStart w:id="498" w:name="_Toc152683416"/>
      <w:r/>
      <w:bookmarkStart w:id="499" w:name="_Toc152683576"/>
      <w:r/>
      <w:bookmarkStart w:id="500" w:name="_Toc197636588"/>
      <w:r/>
      <w:bookmarkStart w:id="501" w:name="_Toc197636640"/>
      <w:r/>
      <w:r/>
    </w:p>
    <w:p>
      <w:pPr>
        <w:jc w:val="center"/>
        <w:keepLines/>
        <w:keepNext/>
        <w:spacing w:after="120" w:line="360" w:lineRule="auto"/>
        <w:rPr>
          <w:rFonts w:hint="eastAsia"/>
          <w:b/>
          <w:spacing w:val="20"/>
          <w:sz w:val="32"/>
          <w:szCs w:val="32"/>
        </w:rPr>
        <w:outlineLvl w:val="0"/>
      </w:pPr>
      <w:r>
        <w:rPr>
          <w:rFonts w:hint="eastAsia"/>
          <w:b/>
          <w:spacing w:val="20"/>
          <w:sz w:val="32"/>
          <w:szCs w:val="32"/>
        </w:rPr>
        <w:t xml:space="preserve">三、</w:t>
      </w:r>
      <w:bookmarkStart w:id="502" w:name="_Hlk202794871"/>
      <w:r/>
      <w:bookmarkStart w:id="503" w:name="OLE_LINK33"/>
      <w:r>
        <w:rPr>
          <w:rFonts w:hint="eastAsia"/>
          <w:b/>
          <w:spacing w:val="20"/>
          <w:sz w:val="32"/>
          <w:szCs w:val="32"/>
        </w:rPr>
        <w:t xml:space="preserve">报价明细表</w:t>
      </w:r>
      <w:r>
        <w:rPr>
          <w:b/>
          <w:spacing w:val="20"/>
          <w:sz w:val="32"/>
          <w:szCs w:val="32"/>
        </w:rPr>
        <w:t xml:space="preserve">（实质性格式）</w:t>
      </w:r>
      <w:bookmarkEnd w:id="498"/>
      <w:r/>
      <w:bookmarkEnd w:id="499"/>
      <w:r/>
      <w:bookmarkEnd w:id="500"/>
      <w:r/>
      <w:bookmarkEnd w:id="501"/>
      <w:r/>
      <w:r/>
    </w:p>
    <w:p>
      <w:pPr>
        <w:ind w:firstLine="720"/>
        <w:tabs>
          <w:tab w:val="left" w:pos="1800" w:leader="none"/>
          <w:tab w:val="left" w:pos="5580" w:leader="none"/>
        </w:tabs>
        <w:rPr>
          <w:rFonts w:hint="eastAsia"/>
          <w:u w:val="single"/>
        </w:rPr>
      </w:pPr>
      <w:r>
        <w:t xml:space="preserve">项目编号</w:t>
      </w:r>
      <w:r>
        <w:rPr>
          <w:rFonts w:hint="eastAsia"/>
        </w:rPr>
        <w:t xml:space="preserve">/包号</w:t>
      </w:r>
      <w:r>
        <w:t xml:space="preserve">：</w:t>
      </w:r>
      <w:r>
        <w:rPr>
          <w:rFonts w:hint="eastAsia"/>
          <w:u w:val="single"/>
        </w:rPr>
        <w:t xml:space="preserve">JSZC-320412-XYCX-G2026-0002</w:t>
      </w:r>
      <w:r>
        <w:rPr>
          <w:rFonts w:hint="eastAsia"/>
          <w:u w:val="single"/>
        </w:rPr>
        <w:t xml:space="preserve">/一包</w:t>
      </w:r>
      <w:r>
        <w:rPr>
          <w:u w:val="single"/>
        </w:rPr>
        <w:t xml:space="preserve"> </w:t>
      </w:r>
      <w:r/>
    </w:p>
    <w:p>
      <w:pPr>
        <w:ind w:left="720"/>
        <w:tabs>
          <w:tab w:val="left" w:pos="1800" w:leader="none"/>
          <w:tab w:val="left" w:pos="5580" w:leader="none"/>
        </w:tabs>
        <w:rPr>
          <w:rFonts w:hint="eastAsia"/>
        </w:rPr>
      </w:pPr>
      <w:r>
        <w:t xml:space="preserve">项目名称：</w:t>
      </w:r>
      <w:r>
        <w:rPr>
          <w:rFonts w:hint="eastAsia"/>
        </w:rPr>
        <w:t xml:space="preserve">江苏理工学院武进绿建区协同创新园新建工程二期项目9号楼、33号楼厨房设备采购</w:t>
      </w:r>
      <w:r>
        <w:rPr>
          <w:rFonts w:hint="eastAsia"/>
        </w:rPr>
        <w:t xml:space="preserve">    </w:t>
      </w:r>
      <w:r>
        <w:rPr>
          <w:rFonts w:hint="eastAsia"/>
        </w:rPr>
        <w:t xml:space="preserve">                                    </w:t>
      </w:r>
      <w:r>
        <w:rPr>
          <w:rFonts w:hint="eastAsia"/>
        </w:rPr>
        <w:t xml:space="preserve">报价单位：元</w:t>
      </w:r>
      <w:r/>
    </w:p>
    <w:tbl>
      <w:tblPr>
        <w:tblW w:w="15420" w:type="dxa"/>
        <w:tblLook w:val="04A0" w:firstRow="1" w:lastRow="0" w:firstColumn="1" w:lastColumn="0" w:noHBand="0" w:noVBand="1"/>
      </w:tblPr>
      <w:tblGrid>
        <w:gridCol w:w="561"/>
        <w:gridCol w:w="1637"/>
        <w:gridCol w:w="1916"/>
        <w:gridCol w:w="4612"/>
        <w:gridCol w:w="700"/>
        <w:gridCol w:w="678"/>
        <w:gridCol w:w="865"/>
        <w:gridCol w:w="773"/>
        <w:gridCol w:w="1028"/>
        <w:gridCol w:w="828"/>
        <w:gridCol w:w="828"/>
        <w:gridCol w:w="994"/>
      </w:tblGrid>
      <w:tr>
        <w:trPr>
          <w:trHeight w:val="540"/>
        </w:trPr>
        <w:tc>
          <w:tcPr>
            <w:tcBorders>
              <w:top w:val="single" w:color="auto" w:sz="4" w:space="0"/>
              <w:left w:val="single" w:color="auto" w:sz="4" w:space="0"/>
              <w:bottom w:val="single" w:color="auto" w:sz="4" w:space="0"/>
              <w:right w:val="single" w:color="auto" w:sz="4" w:space="0"/>
            </w:tcBorders>
            <w:tcW w:w="561" w:type="dxa"/>
            <w:vAlign w:val="center"/>
            <w:textDirection w:val="lrTb"/>
            <w:noWrap w:val="false"/>
          </w:tcPr>
          <w:p>
            <w:pPr>
              <w:jc w:val="center"/>
              <w:rPr>
                <w:rFonts w:hint="eastAsia"/>
                <w:b/>
                <w:bCs/>
                <w:sz w:val="20"/>
                <w:szCs w:val="20"/>
              </w:rPr>
            </w:pPr>
            <w:r>
              <w:rPr>
                <w:rFonts w:hint="eastAsia"/>
                <w:b/>
                <w:bCs/>
                <w:sz w:val="20"/>
                <w:szCs w:val="20"/>
              </w:rPr>
              <w:t xml:space="preserve">序号</w:t>
            </w:r>
            <w:r/>
          </w:p>
        </w:tc>
        <w:tc>
          <w:tcPr>
            <w:tcBorders>
              <w:top w:val="single" w:color="auto" w:sz="4" w:space="0"/>
              <w:left w:val="none" w:color="000000" w:sz="4" w:space="0"/>
              <w:bottom w:val="single" w:color="auto" w:sz="4" w:space="0"/>
              <w:right w:val="single" w:color="auto" w:sz="4" w:space="0"/>
            </w:tcBorders>
            <w:tcW w:w="1637" w:type="dxa"/>
            <w:vAlign w:val="center"/>
            <w:textDirection w:val="lrTb"/>
            <w:noWrap w:val="false"/>
          </w:tcPr>
          <w:p>
            <w:pPr>
              <w:jc w:val="center"/>
              <w:rPr>
                <w:rFonts w:hint="eastAsia"/>
                <w:b/>
                <w:bCs/>
                <w:sz w:val="20"/>
                <w:szCs w:val="20"/>
              </w:rPr>
            </w:pPr>
            <w:r>
              <w:rPr>
                <w:rFonts w:hint="eastAsia"/>
                <w:b/>
                <w:bCs/>
                <w:sz w:val="20"/>
                <w:szCs w:val="20"/>
              </w:rPr>
              <w:t xml:space="preserve">产品名称</w:t>
            </w:r>
            <w:r/>
          </w:p>
        </w:tc>
        <w:tc>
          <w:tcPr>
            <w:tcBorders>
              <w:top w:val="single" w:color="auto" w:sz="4" w:space="0"/>
              <w:left w:val="none" w:color="000000" w:sz="4" w:space="0"/>
              <w:bottom w:val="single" w:color="auto" w:sz="4" w:space="0"/>
              <w:right w:val="single" w:color="auto" w:sz="4" w:space="0"/>
            </w:tcBorders>
            <w:tcW w:w="1916" w:type="dxa"/>
            <w:vAlign w:val="center"/>
            <w:textDirection w:val="lrTb"/>
            <w:noWrap w:val="false"/>
          </w:tcPr>
          <w:p>
            <w:pPr>
              <w:jc w:val="center"/>
              <w:rPr>
                <w:rFonts w:hint="eastAsia"/>
                <w:b/>
                <w:bCs/>
                <w:sz w:val="20"/>
                <w:szCs w:val="20"/>
              </w:rPr>
            </w:pPr>
            <w:r>
              <w:rPr>
                <w:rFonts w:hint="eastAsia"/>
                <w:b/>
                <w:bCs/>
                <w:sz w:val="20"/>
                <w:szCs w:val="20"/>
              </w:rPr>
              <w:t xml:space="preserve">规格（mm）</w:t>
            </w:r>
            <w:r/>
          </w:p>
          <w:p>
            <w:pPr>
              <w:jc w:val="center"/>
              <w:rPr>
                <w:rFonts w:hint="eastAsia"/>
                <w:b/>
                <w:bCs/>
                <w:sz w:val="20"/>
                <w:szCs w:val="20"/>
              </w:rPr>
            </w:pPr>
            <w:r>
              <w:rPr>
                <w:rFonts w:hint="eastAsia"/>
                <w:b/>
                <w:bCs/>
                <w:sz w:val="20"/>
                <w:szCs w:val="20"/>
              </w:rPr>
              <w:t xml:space="preserve">（如有）</w:t>
            </w:r>
            <w:r/>
          </w:p>
        </w:tc>
        <w:tc>
          <w:tcPr>
            <w:tcBorders>
              <w:top w:val="single" w:color="auto" w:sz="4" w:space="0"/>
              <w:left w:val="none" w:color="000000" w:sz="4" w:space="0"/>
              <w:bottom w:val="single" w:color="auto" w:sz="4" w:space="0"/>
              <w:right w:val="single" w:color="auto" w:sz="4" w:space="0"/>
            </w:tcBorders>
            <w:tcW w:w="4612" w:type="dxa"/>
            <w:vAlign w:val="center"/>
            <w:textDirection w:val="lrTb"/>
            <w:noWrap w:val="false"/>
          </w:tcPr>
          <w:p>
            <w:pPr>
              <w:jc w:val="center"/>
              <w:rPr>
                <w:rFonts w:hint="eastAsia"/>
                <w:b/>
                <w:bCs/>
                <w:sz w:val="20"/>
                <w:szCs w:val="20"/>
              </w:rPr>
            </w:pPr>
            <w:r>
              <w:rPr>
                <w:rFonts w:hint="eastAsia"/>
                <w:b/>
                <w:bCs/>
                <w:sz w:val="20"/>
                <w:szCs w:val="20"/>
              </w:rPr>
              <w:t xml:space="preserve">技术参数要求</w:t>
            </w:r>
            <w:r/>
          </w:p>
        </w:tc>
        <w:tc>
          <w:tcPr>
            <w:tcBorders>
              <w:top w:val="single" w:color="auto" w:sz="4" w:space="0"/>
              <w:left w:val="none" w:color="000000" w:sz="4" w:space="0"/>
              <w:bottom w:val="single" w:color="auto" w:sz="4" w:space="0"/>
              <w:right w:val="single" w:color="auto" w:sz="4" w:space="0"/>
            </w:tcBorders>
            <w:tcW w:w="700" w:type="dxa"/>
            <w:vAlign w:val="center"/>
            <w:textDirection w:val="lrTb"/>
            <w:noWrap/>
          </w:tcPr>
          <w:p>
            <w:pPr>
              <w:jc w:val="center"/>
              <w:rPr>
                <w:rFonts w:hint="eastAsia"/>
                <w:b/>
                <w:bCs/>
                <w:sz w:val="20"/>
                <w:szCs w:val="20"/>
              </w:rPr>
            </w:pPr>
            <w:r>
              <w:rPr>
                <w:rFonts w:hint="eastAsia"/>
                <w:b/>
                <w:bCs/>
                <w:sz w:val="20"/>
                <w:szCs w:val="20"/>
              </w:rPr>
              <w:t xml:space="preserve">单位</w:t>
            </w:r>
            <w:r/>
          </w:p>
        </w:tc>
        <w:tc>
          <w:tcPr>
            <w:tcBorders>
              <w:top w:val="single" w:color="auto" w:sz="4" w:space="0"/>
              <w:left w:val="none" w:color="000000" w:sz="4" w:space="0"/>
              <w:bottom w:val="single" w:color="auto" w:sz="4" w:space="0"/>
              <w:right w:val="single" w:color="auto" w:sz="4" w:space="0"/>
            </w:tcBorders>
            <w:tcW w:w="678" w:type="dxa"/>
            <w:vAlign w:val="center"/>
            <w:textDirection w:val="lrTb"/>
            <w:noWrap w:val="false"/>
          </w:tcPr>
          <w:p>
            <w:pPr>
              <w:jc w:val="center"/>
              <w:rPr>
                <w:rFonts w:hint="eastAsia"/>
                <w:b/>
                <w:bCs/>
                <w:sz w:val="20"/>
                <w:szCs w:val="20"/>
              </w:rPr>
            </w:pPr>
            <w:r>
              <w:rPr>
                <w:rFonts w:hint="eastAsia"/>
                <w:b/>
                <w:bCs/>
                <w:sz w:val="20"/>
                <w:szCs w:val="20"/>
              </w:rPr>
              <w:t xml:space="preserve">数量</w:t>
            </w:r>
            <w:r/>
          </w:p>
        </w:tc>
        <w:tc>
          <w:tcPr>
            <w:tcBorders>
              <w:top w:val="single" w:color="auto" w:sz="4" w:space="0"/>
              <w:left w:val="none" w:color="000000" w:sz="4" w:space="0"/>
              <w:bottom w:val="single" w:color="auto" w:sz="4" w:space="0"/>
              <w:right w:val="single" w:color="auto" w:sz="4" w:space="0"/>
            </w:tcBorders>
            <w:tcW w:w="865" w:type="dxa"/>
            <w:vAlign w:val="center"/>
            <w:textDirection w:val="lrTb"/>
            <w:noWrap w:val="false"/>
          </w:tcPr>
          <w:p>
            <w:pPr>
              <w:jc w:val="center"/>
              <w:rPr>
                <w:rFonts w:hint="eastAsia"/>
                <w:b/>
                <w:bCs/>
                <w:sz w:val="20"/>
                <w:szCs w:val="20"/>
              </w:rPr>
            </w:pPr>
            <w:r>
              <w:rPr>
                <w:rFonts w:hint="eastAsia"/>
                <w:b/>
                <w:bCs/>
                <w:sz w:val="20"/>
                <w:szCs w:val="20"/>
              </w:rPr>
              <w:t xml:space="preserve">生产</w:t>
            </w:r>
            <w:r/>
          </w:p>
          <w:p>
            <w:pPr>
              <w:jc w:val="center"/>
              <w:rPr>
                <w:rFonts w:hint="eastAsia"/>
                <w:b/>
                <w:bCs/>
                <w:sz w:val="20"/>
                <w:szCs w:val="20"/>
              </w:rPr>
            </w:pPr>
            <w:r>
              <w:rPr>
                <w:rFonts w:hint="eastAsia"/>
                <w:b/>
                <w:bCs/>
                <w:sz w:val="20"/>
                <w:szCs w:val="20"/>
              </w:rPr>
              <w:t xml:space="preserve">厂商</w:t>
            </w:r>
            <w:r/>
          </w:p>
        </w:tc>
        <w:tc>
          <w:tcPr>
            <w:tcBorders>
              <w:top w:val="single" w:color="auto" w:sz="4" w:space="0"/>
              <w:left w:val="none" w:color="000000" w:sz="4" w:space="0"/>
              <w:bottom w:val="single" w:color="auto" w:sz="4" w:space="0"/>
              <w:right w:val="single" w:color="auto" w:sz="4" w:space="0"/>
            </w:tcBorders>
            <w:tcW w:w="773" w:type="dxa"/>
            <w:vAlign w:val="center"/>
            <w:textDirection w:val="lrTb"/>
            <w:noWrap w:val="false"/>
          </w:tcPr>
          <w:p>
            <w:pPr>
              <w:jc w:val="center"/>
              <w:rPr>
                <w:rFonts w:hint="eastAsia"/>
                <w:b/>
                <w:bCs/>
                <w:sz w:val="20"/>
                <w:szCs w:val="20"/>
              </w:rPr>
            </w:pPr>
            <w:r>
              <w:rPr>
                <w:rFonts w:hint="eastAsia"/>
                <w:b/>
                <w:bCs/>
                <w:sz w:val="20"/>
                <w:szCs w:val="20"/>
              </w:rPr>
              <w:t xml:space="preserve">品牌</w:t>
            </w:r>
            <w:r/>
          </w:p>
        </w:tc>
        <w:tc>
          <w:tcPr>
            <w:tcBorders>
              <w:top w:val="single" w:color="auto" w:sz="4" w:space="0"/>
              <w:left w:val="none" w:color="000000" w:sz="4" w:space="0"/>
              <w:bottom w:val="single" w:color="auto" w:sz="4" w:space="0"/>
              <w:right w:val="single" w:color="auto" w:sz="4" w:space="0"/>
            </w:tcBorders>
            <w:tcW w:w="1028" w:type="dxa"/>
            <w:vAlign w:val="center"/>
            <w:textDirection w:val="lrTb"/>
            <w:noWrap w:val="false"/>
          </w:tcPr>
          <w:p>
            <w:pPr>
              <w:jc w:val="center"/>
              <w:rPr>
                <w:rFonts w:hint="eastAsia"/>
                <w:b/>
                <w:bCs/>
                <w:sz w:val="20"/>
                <w:szCs w:val="20"/>
              </w:rPr>
            </w:pPr>
            <w:r>
              <w:rPr>
                <w:rFonts w:hint="eastAsia"/>
                <w:b/>
                <w:bCs/>
                <w:sz w:val="20"/>
                <w:szCs w:val="20"/>
              </w:rPr>
              <w:t xml:space="preserve">型号</w:t>
            </w:r>
            <w:r/>
          </w:p>
          <w:p>
            <w:pPr>
              <w:jc w:val="center"/>
              <w:rPr>
                <w:rFonts w:hint="eastAsia"/>
                <w:b/>
                <w:bCs/>
                <w:sz w:val="20"/>
                <w:szCs w:val="20"/>
              </w:rPr>
            </w:pPr>
            <w:r>
              <w:rPr>
                <w:rFonts w:hint="eastAsia"/>
                <w:b/>
                <w:bCs/>
                <w:sz w:val="20"/>
                <w:szCs w:val="20"/>
              </w:rPr>
              <w:t xml:space="preserve">（如有）</w:t>
            </w:r>
            <w:r/>
          </w:p>
        </w:tc>
        <w:tc>
          <w:tcPr>
            <w:tcBorders>
              <w:top w:val="single" w:color="auto" w:sz="4" w:space="0"/>
              <w:left w:val="none" w:color="000000" w:sz="4" w:space="0"/>
              <w:bottom w:val="single" w:color="auto" w:sz="4" w:space="0"/>
              <w:right w:val="single" w:color="auto" w:sz="4" w:space="0"/>
            </w:tcBorders>
            <w:tcW w:w="828" w:type="dxa"/>
            <w:vAlign w:val="center"/>
            <w:textDirection w:val="lrTb"/>
            <w:noWrap w:val="false"/>
          </w:tcPr>
          <w:p>
            <w:pPr>
              <w:jc w:val="center"/>
              <w:rPr>
                <w:rFonts w:hint="eastAsia"/>
                <w:b/>
                <w:bCs/>
                <w:sz w:val="20"/>
                <w:szCs w:val="20"/>
              </w:rPr>
            </w:pPr>
            <w:r>
              <w:rPr>
                <w:rFonts w:hint="eastAsia"/>
                <w:b/>
                <w:bCs/>
                <w:sz w:val="20"/>
                <w:szCs w:val="20"/>
              </w:rPr>
              <w:t xml:space="preserve">单价</w:t>
            </w:r>
            <w:r/>
          </w:p>
        </w:tc>
        <w:tc>
          <w:tcPr>
            <w:tcBorders>
              <w:top w:val="single" w:color="auto" w:sz="4" w:space="0"/>
              <w:left w:val="none" w:color="000000" w:sz="4" w:space="0"/>
              <w:bottom w:val="single" w:color="auto" w:sz="4" w:space="0"/>
              <w:right w:val="single" w:color="auto" w:sz="4" w:space="0"/>
            </w:tcBorders>
            <w:tcW w:w="828" w:type="dxa"/>
            <w:vAlign w:val="center"/>
            <w:textDirection w:val="lrTb"/>
            <w:noWrap w:val="false"/>
          </w:tcPr>
          <w:p>
            <w:pPr>
              <w:jc w:val="center"/>
              <w:rPr>
                <w:rFonts w:hint="eastAsia"/>
                <w:b/>
                <w:bCs/>
                <w:sz w:val="20"/>
                <w:szCs w:val="20"/>
              </w:rPr>
            </w:pPr>
            <w:r>
              <w:rPr>
                <w:rFonts w:hint="eastAsia"/>
                <w:b/>
                <w:bCs/>
                <w:sz w:val="20"/>
                <w:szCs w:val="20"/>
              </w:rPr>
              <w:t xml:space="preserve">合价</w:t>
            </w:r>
            <w:r/>
          </w:p>
        </w:tc>
        <w:tc>
          <w:tcPr>
            <w:tcBorders>
              <w:top w:val="single" w:color="auto" w:sz="4" w:space="0"/>
              <w:left w:val="none" w:color="000000" w:sz="4" w:space="0"/>
              <w:bottom w:val="single" w:color="auto" w:sz="4" w:space="0"/>
              <w:right w:val="single" w:color="auto" w:sz="4" w:space="0"/>
            </w:tcBorders>
            <w:tcW w:w="994" w:type="dxa"/>
            <w:vAlign w:val="center"/>
            <w:textDirection w:val="lrTb"/>
            <w:noWrap w:val="false"/>
          </w:tcPr>
          <w:p>
            <w:pPr>
              <w:jc w:val="center"/>
              <w:rPr>
                <w:rFonts w:hint="eastAsia"/>
                <w:b/>
                <w:bCs/>
                <w:sz w:val="20"/>
                <w:szCs w:val="20"/>
              </w:rPr>
            </w:pPr>
            <w:r>
              <w:rPr>
                <w:rFonts w:hint="eastAsia"/>
                <w:b/>
                <w:bCs/>
                <w:sz w:val="20"/>
                <w:szCs w:val="20"/>
              </w:rPr>
              <w:t xml:space="preserve">备注</w:t>
            </w:r>
            <w:r/>
          </w:p>
        </w:tc>
      </w:tr>
      <w:tr>
        <w:trPr>
          <w:trHeight w:val="540"/>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b/>
                <w:bCs/>
                <w:sz w:val="20"/>
                <w:szCs w:val="20"/>
              </w:rPr>
            </w:pPr>
            <w:r>
              <w:rPr>
                <w:rFonts w:hint="eastAsia"/>
                <w:b/>
                <w:bCs/>
                <w:sz w:val="20"/>
                <w:szCs w:val="20"/>
              </w:rPr>
              <w:t xml:space="preserve">一</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val="false"/>
          </w:tcPr>
          <w:p>
            <w:pPr>
              <w:rPr>
                <w:rFonts w:hint="eastAsia"/>
                <w:b/>
                <w:bCs/>
                <w:sz w:val="20"/>
                <w:szCs w:val="20"/>
              </w:rPr>
            </w:pPr>
            <w:r>
              <w:rPr>
                <w:rFonts w:hint="eastAsia"/>
                <w:b/>
                <w:bCs/>
                <w:sz w:val="20"/>
                <w:szCs w:val="20"/>
              </w:rPr>
              <w:t xml:space="preserve">厨房灭火系统</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sz w:val="20"/>
                <w:szCs w:val="20"/>
              </w:rPr>
            </w:pPr>
            <w:r>
              <w:rPr>
                <w:rFonts w:hint="eastAsia"/>
                <w:sz w:val="20"/>
                <w:szCs w:val="20"/>
              </w:rPr>
              <w:t xml:space="preserve">　</w:t>
            </w:r>
            <w:r/>
          </w:p>
        </w:tc>
      </w:tr>
      <w:tr>
        <w:trPr>
          <w:trHeight w:val="1474"/>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1</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厨房灭火系统1</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1、结构类型：悬挂式，动作温度（℃）：180±3；单瓶组</w:t>
            </w:r>
            <w:r>
              <w:rPr>
                <w:rFonts w:hint="eastAsia"/>
                <w:sz w:val="20"/>
                <w:szCs w:val="20"/>
              </w:rPr>
              <w:br/>
              <w:t xml:space="preserve">2、主要配件：驱动瓶、药剂罐、水流控制阀、感温装置、控制箱、食用油专用灭火药剂及释放机构等，材料全部采用不锈钢、铜及少量合金铝，并经过防腐处理；</w:t>
            </w:r>
            <w:r>
              <w:rPr>
                <w:rFonts w:hint="eastAsia"/>
                <w:sz w:val="20"/>
                <w:szCs w:val="20"/>
              </w:rPr>
              <w:br/>
              <w:t xml:space="preserve">3、工作原理：采用机械、电控相结合传动，全天候 24 小时监控，可连接消防报警系统。火情发生后，灭火装置自动启动扑灭火焰，在灭火时打开声光报警、水流阀同时进行。设有机械应急启动装置，当手动、自动启动不成功时使用；</w:t>
            </w:r>
            <w:r>
              <w:rPr>
                <w:rFonts w:hint="eastAsia"/>
                <w:sz w:val="20"/>
                <w:szCs w:val="20"/>
              </w:rPr>
              <w:br/>
              <w:t xml:space="preserve">4、灭火剂名称：食用油专用灭火药剂，</w:t>
            </w:r>
            <w:r>
              <w:rPr>
                <w:color w:val="ee0000"/>
                <w:sz w:val="20"/>
                <w:szCs w:val="20"/>
              </w:rPr>
              <w:t xml:space="preserve">单瓶重量：≥12KG，喷射时间：≥10S，喷射延迟时间：≤3S；</w:t>
            </w:r>
            <w:r/>
          </w:p>
          <w:p>
            <w:pPr>
              <w:rPr>
                <w:rFonts w:hint="eastAsia"/>
                <w:sz w:val="20"/>
                <w:szCs w:val="20"/>
              </w:rPr>
            </w:pPr>
            <w:r>
              <w:rPr>
                <w:rFonts w:hint="eastAsia"/>
                <w:sz w:val="20"/>
                <w:szCs w:val="20"/>
              </w:rPr>
              <w:t xml:space="preserve">5、该药剂无毒、无污染、易清洗，同时灭火装置需满足以下要求：</w:t>
            </w:r>
            <w:r>
              <w:rPr>
                <w:rFonts w:hint="eastAsia"/>
                <w:sz w:val="20"/>
                <w:szCs w:val="20"/>
              </w:rPr>
              <w:br/>
              <w:t xml:space="preserve">6、具有水冷却功能，在灭火剂完全喷射后，水流联动阀立即启动；</w:t>
            </w:r>
            <w:r>
              <w:rPr>
                <w:rFonts w:hint="eastAsia"/>
                <w:sz w:val="20"/>
                <w:szCs w:val="20"/>
              </w:rPr>
              <w:br/>
              <w:t xml:space="preserve">7、具有自动启动、手动启动、机械启动功能，且不会复燃，能提供消防中控信号及燃气切断功能信号。</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1</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sz w:val="20"/>
                <w:szCs w:val="20"/>
              </w:rPr>
            </w:pPr>
            <w:r>
              <w:rPr>
                <w:rFonts w:hint="eastAsia"/>
                <w:sz w:val="20"/>
                <w:szCs w:val="20"/>
              </w:rPr>
              <w:t xml:space="preserve">　</w:t>
            </w:r>
            <w:r/>
          </w:p>
        </w:tc>
      </w:tr>
      <w:tr>
        <w:trPr>
          <w:trHeight w:val="3702"/>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2</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厨房灭火系统2</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1、结构类型：悬挂式，动作温度（℃）：180±3；双瓶组</w:t>
            </w:r>
            <w:r>
              <w:rPr>
                <w:rFonts w:hint="eastAsia"/>
                <w:sz w:val="20"/>
                <w:szCs w:val="20"/>
              </w:rPr>
              <w:br/>
              <w:t xml:space="preserve">2、主要配件：驱动瓶、药剂罐、水流控制阀、感温装置、控制箱、食用油专用灭火药剂及释放机构等，材料全部采用不锈钢、铜及少量合金铝，并经过防腐处理；</w:t>
            </w:r>
            <w:r>
              <w:rPr>
                <w:rFonts w:hint="eastAsia"/>
                <w:sz w:val="20"/>
                <w:szCs w:val="20"/>
              </w:rPr>
              <w:br/>
              <w:t xml:space="preserve">3、工作原理：采用机械、电控相结合传动，全天候 24 小时监控，可连接消防报警系统。火情发生后，灭火装置自动启动扑灭火焰，在灭火时打开声光报警、水流阀同时进行。设有机械应急启动装置，当手动、自动启动不成功时使用；</w:t>
            </w:r>
            <w:r>
              <w:rPr>
                <w:rFonts w:hint="eastAsia"/>
                <w:sz w:val="20"/>
                <w:szCs w:val="20"/>
              </w:rPr>
              <w:br/>
              <w:t xml:space="preserve">4、灭火剂名称：食用油专用灭火药剂，</w:t>
            </w:r>
            <w:r>
              <w:rPr>
                <w:color w:val="ee0000"/>
                <w:sz w:val="20"/>
                <w:szCs w:val="20"/>
              </w:rPr>
              <w:t xml:space="preserve">单瓶重量：≥12KG，喷射时间：≥10S，喷射延迟时间：≤3S；</w:t>
            </w:r>
            <w:r/>
          </w:p>
          <w:p>
            <w:pPr>
              <w:rPr>
                <w:rFonts w:hint="eastAsia"/>
                <w:sz w:val="20"/>
                <w:szCs w:val="20"/>
              </w:rPr>
            </w:pPr>
            <w:r>
              <w:rPr>
                <w:rFonts w:hint="eastAsia"/>
                <w:sz w:val="20"/>
                <w:szCs w:val="20"/>
              </w:rPr>
              <w:t xml:space="preserve">5、该药剂无毒、无污染、易清洗，同时灭火装置需满足以下要求：</w:t>
            </w:r>
            <w:r>
              <w:rPr>
                <w:rFonts w:hint="eastAsia"/>
                <w:sz w:val="20"/>
                <w:szCs w:val="20"/>
              </w:rPr>
              <w:br/>
              <w:t xml:space="preserve">6、具有水冷却功能，在灭火剂完全喷射后，水流联动阀立即启动；</w:t>
            </w:r>
            <w:r>
              <w:rPr>
                <w:rFonts w:hint="eastAsia"/>
                <w:sz w:val="20"/>
                <w:szCs w:val="20"/>
              </w:rPr>
              <w:br/>
              <w:t xml:space="preserve">7、具有自动启动、手动启动、机械启动功能，且不会复燃，能提供消防中控信号及燃气切断功能信号。</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4</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1635"/>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3</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厨房灭火系统3</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1、结构类型：悬挂式，动作温度（℃）：180±3；三瓶组</w:t>
            </w:r>
            <w:r>
              <w:rPr>
                <w:rFonts w:hint="eastAsia"/>
                <w:sz w:val="20"/>
                <w:szCs w:val="20"/>
              </w:rPr>
              <w:br/>
              <w:t xml:space="preserve">2、主要配件：驱动瓶、药剂罐、水流控制阀、感温装置、控制箱、食用油专用灭火药剂及释放机构等，材料全部采用不锈钢、铜及少量合金铝，并经过防腐处理；</w:t>
            </w:r>
            <w:r>
              <w:rPr>
                <w:rFonts w:hint="eastAsia"/>
                <w:sz w:val="20"/>
                <w:szCs w:val="20"/>
              </w:rPr>
              <w:br/>
              <w:t xml:space="preserve">3、工作原理：采用机械、电控相结合传动，全天候 24 小时监控，可连接消防报警系统。火情发生后，灭火装置自动启动扑灭火焰，在灭火时打开声光报警、水流阀同时进行。设有机械应急启动装置，当手动、自动启动不成功时使用；</w:t>
            </w:r>
            <w:r>
              <w:rPr>
                <w:rFonts w:hint="eastAsia"/>
                <w:sz w:val="20"/>
                <w:szCs w:val="20"/>
              </w:rPr>
              <w:br/>
              <w:t xml:space="preserve">4、灭火剂名称：食用油专用灭火药剂，</w:t>
            </w:r>
            <w:r>
              <w:rPr>
                <w:color w:val="ee0000"/>
                <w:sz w:val="20"/>
                <w:szCs w:val="20"/>
              </w:rPr>
              <w:t xml:space="preserve">单瓶重量：≥12KG，喷射时间：≥10S，喷射延迟时间：≤3S；</w:t>
            </w:r>
            <w:r/>
          </w:p>
          <w:p>
            <w:pPr>
              <w:rPr>
                <w:rFonts w:hint="eastAsia"/>
                <w:sz w:val="20"/>
                <w:szCs w:val="20"/>
              </w:rPr>
            </w:pPr>
            <w:r>
              <w:rPr>
                <w:rFonts w:hint="eastAsia"/>
                <w:sz w:val="20"/>
                <w:szCs w:val="20"/>
              </w:rPr>
              <w:t xml:space="preserve">5、该药剂无毒、无污染、易清洗，同时灭火装置需满足以下要求：</w:t>
            </w:r>
            <w:r>
              <w:rPr>
                <w:rFonts w:hint="eastAsia"/>
                <w:sz w:val="20"/>
                <w:szCs w:val="20"/>
              </w:rPr>
              <w:br/>
              <w:t xml:space="preserve">6、具有水冷却功能，在灭火剂完全喷射后，水流联动阀立即启动；</w:t>
            </w:r>
            <w:r>
              <w:rPr>
                <w:rFonts w:hint="eastAsia"/>
                <w:sz w:val="20"/>
                <w:szCs w:val="20"/>
              </w:rPr>
              <w:br/>
              <w:t xml:space="preserve">7、具有自动启动、手动启动、机械启动功能，且不会复燃，能提供消防中控信号及燃气切断功能信号。</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2</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540"/>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b/>
                <w:bCs/>
                <w:sz w:val="20"/>
                <w:szCs w:val="20"/>
              </w:rPr>
            </w:pPr>
            <w:r>
              <w:rPr>
                <w:rFonts w:hint="eastAsia"/>
                <w:b/>
                <w:bCs/>
                <w:sz w:val="20"/>
                <w:szCs w:val="20"/>
              </w:rPr>
              <w:t xml:space="preserve">二</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b/>
                <w:bCs/>
                <w:sz w:val="20"/>
                <w:szCs w:val="20"/>
              </w:rPr>
            </w:pPr>
            <w:r>
              <w:rPr>
                <w:rFonts w:hint="eastAsia"/>
                <w:b/>
                <w:bCs/>
                <w:sz w:val="20"/>
                <w:szCs w:val="20"/>
              </w:rPr>
              <w:t xml:space="preserve">厨房货架、工作台</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sz w:val="20"/>
                <w:szCs w:val="20"/>
              </w:rPr>
            </w:pPr>
            <w:r>
              <w:rPr>
                <w:rFonts w:hint="eastAsia"/>
                <w:sz w:val="20"/>
                <w:szCs w:val="20"/>
              </w:rPr>
              <w:t xml:space="preserve">　</w:t>
            </w:r>
            <w:r/>
          </w:p>
        </w:tc>
      </w:tr>
      <w:tr>
        <w:trPr>
          <w:trHeight w:val="1590"/>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4</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四层冲孔货架1</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1500*600*1800</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层板：采用SUS304 ≥1.2mm不锈钢板</w:t>
            </w:r>
            <w:r>
              <w:rPr>
                <w:rFonts w:hint="eastAsia"/>
                <w:sz w:val="20"/>
                <w:szCs w:val="20"/>
              </w:rPr>
              <w:br/>
              <w:t xml:space="preserve">脚架：采用SUS304 </w:t>
            </w:r>
            <w:r>
              <w:rPr>
                <w:rFonts w:ascii="Calibri" w:hAnsi="Calibri" w:cs="Calibri"/>
                <w:sz w:val="20"/>
                <w:szCs w:val="20"/>
              </w:rPr>
              <w:t xml:space="preserve">ф</w:t>
            </w:r>
            <w:r>
              <w:rPr>
                <w:rFonts w:hint="eastAsia"/>
                <w:sz w:val="20"/>
                <w:szCs w:val="20"/>
              </w:rPr>
              <w:t xml:space="preserve">38mm，厚度≥1.5mm定形管</w:t>
            </w:r>
            <w:r>
              <w:rPr>
                <w:rFonts w:hint="eastAsia"/>
                <w:sz w:val="20"/>
                <w:szCs w:val="20"/>
              </w:rPr>
              <w:br/>
              <w:t xml:space="preserve">加强筋：采用SUS304 ≥1.2mm不锈钢板</w:t>
            </w:r>
            <w:r>
              <w:rPr>
                <w:rFonts w:hint="eastAsia"/>
                <w:sz w:val="20"/>
                <w:szCs w:val="20"/>
              </w:rPr>
              <w:br/>
              <w:t xml:space="preserve">配SUS304 不锈钢调节子弹脚</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1</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sz w:val="20"/>
                <w:szCs w:val="20"/>
              </w:rPr>
            </w:pPr>
            <w:r>
              <w:rPr>
                <w:rFonts w:hint="eastAsia"/>
                <w:sz w:val="20"/>
                <w:szCs w:val="20"/>
              </w:rPr>
              <w:t xml:space="preserve">　</w:t>
            </w:r>
            <w:r/>
          </w:p>
        </w:tc>
      </w:tr>
      <w:tr>
        <w:trPr>
          <w:trHeight w:val="1590"/>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5</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四层冲孔货架2</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1140*500*1800</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层板：采用SUS304 ≥1.2mm不锈钢板</w:t>
            </w:r>
            <w:r>
              <w:rPr>
                <w:rFonts w:hint="eastAsia"/>
                <w:sz w:val="20"/>
                <w:szCs w:val="20"/>
              </w:rPr>
              <w:br/>
              <w:t xml:space="preserve">脚架：采用SUS304 </w:t>
            </w:r>
            <w:r>
              <w:rPr>
                <w:rFonts w:ascii="Calibri" w:hAnsi="Calibri" w:cs="Calibri"/>
                <w:sz w:val="20"/>
                <w:szCs w:val="20"/>
              </w:rPr>
              <w:t xml:space="preserve">ф</w:t>
            </w:r>
            <w:r>
              <w:rPr>
                <w:rFonts w:hint="eastAsia"/>
                <w:sz w:val="20"/>
                <w:szCs w:val="20"/>
              </w:rPr>
              <w:t xml:space="preserve">38mm，厚度≥1.5mm定形管</w:t>
            </w:r>
            <w:r>
              <w:rPr>
                <w:rFonts w:hint="eastAsia"/>
                <w:sz w:val="20"/>
                <w:szCs w:val="20"/>
              </w:rPr>
              <w:br/>
              <w:t xml:space="preserve">加强筋：采用SUS304 ≥1.2mm不锈钢板</w:t>
            </w:r>
            <w:r>
              <w:rPr>
                <w:rFonts w:hint="eastAsia"/>
                <w:sz w:val="20"/>
                <w:szCs w:val="20"/>
              </w:rPr>
              <w:br/>
              <w:t xml:space="preserve">配SUS304 不锈钢调节子弹脚</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69</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sz w:val="20"/>
                <w:szCs w:val="20"/>
              </w:rPr>
            </w:pPr>
            <w:r>
              <w:rPr>
                <w:rFonts w:hint="eastAsia"/>
                <w:sz w:val="20"/>
                <w:szCs w:val="20"/>
              </w:rPr>
              <w:t xml:space="preserve">　</w:t>
            </w:r>
            <w:r/>
          </w:p>
        </w:tc>
      </w:tr>
      <w:tr>
        <w:trPr>
          <w:trHeight w:val="1590"/>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6</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四层冲孔货架3</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1500*500*1800</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层板：采用SUS304 ≥1.2mm不锈钢板</w:t>
            </w:r>
            <w:r>
              <w:rPr>
                <w:rFonts w:hint="eastAsia"/>
                <w:sz w:val="20"/>
                <w:szCs w:val="20"/>
              </w:rPr>
              <w:br/>
              <w:t xml:space="preserve">脚架：采用SUS304 </w:t>
            </w:r>
            <w:r>
              <w:rPr>
                <w:rFonts w:ascii="Calibri" w:hAnsi="Calibri" w:cs="Calibri"/>
                <w:sz w:val="20"/>
                <w:szCs w:val="20"/>
              </w:rPr>
              <w:t xml:space="preserve">ф</w:t>
            </w:r>
            <w:r>
              <w:rPr>
                <w:rFonts w:hint="eastAsia"/>
                <w:sz w:val="20"/>
                <w:szCs w:val="20"/>
              </w:rPr>
              <w:t xml:space="preserve">38mm，厚度≥1.5mm定形管</w:t>
            </w:r>
            <w:r>
              <w:rPr>
                <w:rFonts w:hint="eastAsia"/>
                <w:sz w:val="20"/>
                <w:szCs w:val="20"/>
              </w:rPr>
              <w:br/>
              <w:t xml:space="preserve">加强筋：采用SUS304 ≥1.2mm不锈钢板</w:t>
            </w:r>
            <w:r>
              <w:rPr>
                <w:rFonts w:hint="eastAsia"/>
                <w:sz w:val="20"/>
                <w:szCs w:val="20"/>
              </w:rPr>
              <w:br/>
              <w:t xml:space="preserve">配SUS304 不锈钢调节子弹脚</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3</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1590"/>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7</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四层冲孔货架4</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1000*500*1800</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层板：采用SUS304 ≥1.2mm不锈钢板</w:t>
            </w:r>
            <w:r>
              <w:rPr>
                <w:rFonts w:hint="eastAsia"/>
                <w:sz w:val="20"/>
                <w:szCs w:val="20"/>
              </w:rPr>
              <w:br/>
              <w:t xml:space="preserve">脚架：采用SUS304 </w:t>
            </w:r>
            <w:r>
              <w:rPr>
                <w:rFonts w:ascii="Calibri" w:hAnsi="Calibri" w:cs="Calibri"/>
                <w:sz w:val="20"/>
                <w:szCs w:val="20"/>
              </w:rPr>
              <w:t xml:space="preserve">ф</w:t>
            </w:r>
            <w:r>
              <w:rPr>
                <w:rFonts w:hint="eastAsia"/>
                <w:sz w:val="20"/>
                <w:szCs w:val="20"/>
              </w:rPr>
              <w:t xml:space="preserve">38mm，厚度≥1.5mm定形管</w:t>
            </w:r>
            <w:r>
              <w:rPr>
                <w:rFonts w:hint="eastAsia"/>
                <w:sz w:val="20"/>
                <w:szCs w:val="20"/>
              </w:rPr>
              <w:br/>
              <w:t xml:space="preserve">加强筋：采用SUS304 ≥1.2mm不锈钢板</w:t>
            </w:r>
            <w:r>
              <w:rPr>
                <w:rFonts w:hint="eastAsia"/>
                <w:sz w:val="20"/>
                <w:szCs w:val="20"/>
              </w:rPr>
              <w:br/>
              <w:t xml:space="preserve">配SUS304 不锈钢调节子弹脚</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2</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1590"/>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8</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四层平板货架1</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1140*500*1800</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层板：采用SUS304 ≥1.2mm不锈钢板</w:t>
            </w:r>
            <w:r>
              <w:rPr>
                <w:rFonts w:hint="eastAsia"/>
                <w:sz w:val="20"/>
                <w:szCs w:val="20"/>
              </w:rPr>
              <w:br/>
              <w:t xml:space="preserve">脚架：采用SUS304 </w:t>
            </w:r>
            <w:r>
              <w:rPr>
                <w:rFonts w:ascii="Calibri" w:hAnsi="Calibri" w:cs="Calibri"/>
                <w:sz w:val="20"/>
                <w:szCs w:val="20"/>
              </w:rPr>
              <w:t xml:space="preserve">ф</w:t>
            </w:r>
            <w:r>
              <w:rPr>
                <w:rFonts w:hint="eastAsia"/>
                <w:sz w:val="20"/>
                <w:szCs w:val="20"/>
              </w:rPr>
              <w:t xml:space="preserve">38mm，厚度≥1.5mm定形管</w:t>
            </w:r>
            <w:r>
              <w:rPr>
                <w:rFonts w:hint="eastAsia"/>
                <w:sz w:val="20"/>
                <w:szCs w:val="20"/>
              </w:rPr>
              <w:br/>
              <w:t xml:space="preserve">加强筋：采用SUS304 ≥1.2mm不锈钢板</w:t>
            </w:r>
            <w:r>
              <w:rPr>
                <w:rFonts w:hint="eastAsia"/>
                <w:sz w:val="20"/>
                <w:szCs w:val="20"/>
              </w:rPr>
              <w:br/>
              <w:t xml:space="preserve">配SUS304 不锈钢调节子弹脚</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12</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1590"/>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9</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四层平板货架2</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1500*500*1800</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层板：采用SUS304 ≥1.2mm不锈钢板</w:t>
            </w:r>
            <w:r>
              <w:rPr>
                <w:rFonts w:hint="eastAsia"/>
                <w:sz w:val="20"/>
                <w:szCs w:val="20"/>
              </w:rPr>
              <w:br/>
              <w:t xml:space="preserve">脚架：采用SUS304 </w:t>
            </w:r>
            <w:r>
              <w:rPr>
                <w:rFonts w:ascii="Calibri" w:hAnsi="Calibri" w:cs="Calibri"/>
                <w:sz w:val="20"/>
                <w:szCs w:val="20"/>
              </w:rPr>
              <w:t xml:space="preserve">ф</w:t>
            </w:r>
            <w:r>
              <w:rPr>
                <w:rFonts w:hint="eastAsia"/>
                <w:sz w:val="20"/>
                <w:szCs w:val="20"/>
              </w:rPr>
              <w:t xml:space="preserve">38mm，厚度≥1.5mm定形管</w:t>
            </w:r>
            <w:r>
              <w:rPr>
                <w:rFonts w:hint="eastAsia"/>
                <w:sz w:val="20"/>
                <w:szCs w:val="20"/>
              </w:rPr>
              <w:br/>
              <w:t xml:space="preserve">加强筋：采用SUS304 ≥1.2mm不锈钢板</w:t>
            </w:r>
            <w:r>
              <w:rPr>
                <w:rFonts w:hint="eastAsia"/>
                <w:sz w:val="20"/>
                <w:szCs w:val="20"/>
              </w:rPr>
              <w:br/>
              <w:t xml:space="preserve">配SUS304 不锈钢调节子弹脚</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6</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1590"/>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10</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米面架1</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1200*500*200</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横档：采用SUS304 38*25mm，厚度≥1.5mm不锈钢方管 </w:t>
            </w:r>
            <w:r>
              <w:rPr>
                <w:rFonts w:hint="eastAsia"/>
                <w:sz w:val="20"/>
                <w:szCs w:val="20"/>
              </w:rPr>
              <w:br/>
              <w:t xml:space="preserve">栅栏：采用SUS304 38*25mm，厚度≥1.5mm不锈钢方管</w:t>
            </w:r>
            <w:r>
              <w:rPr>
                <w:rFonts w:hint="eastAsia"/>
                <w:sz w:val="20"/>
                <w:szCs w:val="20"/>
              </w:rPr>
              <w:br/>
              <w:t xml:space="preserve">加强筋：采用SUS304 ≥1.2mm不锈钢板</w:t>
            </w:r>
            <w:r>
              <w:rPr>
                <w:rFonts w:hint="eastAsia"/>
                <w:sz w:val="20"/>
                <w:szCs w:val="20"/>
              </w:rPr>
              <w:br/>
              <w:t xml:space="preserve">脚架：采用SUS304 38*38mm，厚度≥1.5mm不锈钢方管</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34</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1590"/>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11</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米面架2</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1500*500*200</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横档：采用SUS304 38*25mm，厚度≥1.5mm不锈钢方管 </w:t>
            </w:r>
            <w:r>
              <w:rPr>
                <w:rFonts w:hint="eastAsia"/>
                <w:sz w:val="20"/>
                <w:szCs w:val="20"/>
              </w:rPr>
              <w:br/>
              <w:t xml:space="preserve">栅栏：采用SUS304 38*25mm，厚度≥1.5mm不锈钢方管</w:t>
            </w:r>
            <w:r>
              <w:rPr>
                <w:rFonts w:hint="eastAsia"/>
                <w:sz w:val="20"/>
                <w:szCs w:val="20"/>
              </w:rPr>
              <w:br/>
              <w:t xml:space="preserve">加强筋：采用SUS304 ≥1.2mm不锈钢板</w:t>
            </w:r>
            <w:r>
              <w:rPr>
                <w:rFonts w:hint="eastAsia"/>
                <w:sz w:val="20"/>
                <w:szCs w:val="20"/>
              </w:rPr>
              <w:br/>
              <w:t xml:space="preserve">脚架：采用SUS304 38*38mm，厚度≥1.5mm不锈钢方管</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2</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1815"/>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12</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双层工作台1</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600*760*800+100</w:t>
            </w:r>
            <w:r/>
          </w:p>
        </w:tc>
        <w:tc>
          <w:tcPr>
            <w:tcBorders>
              <w:top w:val="none" w:color="000000" w:sz="4" w:space="0"/>
              <w:left w:val="none" w:color="000000" w:sz="4" w:space="0"/>
              <w:bottom w:val="single" w:color="auto" w:sz="4" w:space="0"/>
              <w:right w:val="single" w:color="auto" w:sz="4" w:space="0"/>
            </w:tcBorders>
            <w:tcW w:w="4612" w:type="dxa"/>
            <w:textDirection w:val="lrTb"/>
            <w:noWrap w:val="false"/>
          </w:tcPr>
          <w:p>
            <w:pPr>
              <w:rPr>
                <w:rFonts w:hint="eastAsia"/>
                <w:sz w:val="20"/>
                <w:szCs w:val="20"/>
              </w:rPr>
            </w:pPr>
            <w:r>
              <w:rPr>
                <w:rFonts w:hint="eastAsia"/>
                <w:sz w:val="20"/>
                <w:szCs w:val="20"/>
              </w:rPr>
              <w:t xml:space="preserve">台面:采用SUS304 ≥1.5mm不锈钢板</w:t>
            </w:r>
            <w:r>
              <w:rPr>
                <w:rFonts w:hint="eastAsia"/>
                <w:sz w:val="20"/>
                <w:szCs w:val="20"/>
              </w:rPr>
              <w:br/>
              <w:t xml:space="preserve">层板：采用SUS304 ≥1.2mm不锈钢板</w:t>
            </w:r>
            <w:r>
              <w:rPr>
                <w:rFonts w:hint="eastAsia"/>
                <w:sz w:val="20"/>
                <w:szCs w:val="20"/>
              </w:rPr>
              <w:br/>
              <w:t xml:space="preserve">加强筋：采用SUS304 ≥1.2mm不锈钢板</w:t>
            </w:r>
            <w:r>
              <w:rPr>
                <w:rFonts w:hint="eastAsia"/>
                <w:sz w:val="20"/>
                <w:szCs w:val="20"/>
              </w:rPr>
              <w:br/>
              <w:t xml:space="preserve">脚架：采用SUS304 </w:t>
            </w:r>
            <w:r>
              <w:rPr>
                <w:rFonts w:ascii="Calibri" w:hAnsi="Calibri" w:cs="Calibri"/>
                <w:sz w:val="20"/>
                <w:szCs w:val="20"/>
              </w:rPr>
              <w:t xml:space="preserve">φ</w:t>
            </w:r>
            <w:r>
              <w:rPr>
                <w:rFonts w:hint="eastAsia"/>
                <w:sz w:val="20"/>
                <w:szCs w:val="20"/>
              </w:rPr>
              <w:t xml:space="preserve">38mm，厚度≥1.5mm不锈钢定形管                     </w:t>
            </w:r>
            <w:r>
              <w:rPr>
                <w:rFonts w:hint="eastAsia"/>
                <w:sz w:val="20"/>
                <w:szCs w:val="20"/>
              </w:rPr>
              <w:br/>
              <w:t xml:space="preserve">横档：采用SUS304 </w:t>
            </w:r>
            <w:r>
              <w:rPr>
                <w:rFonts w:ascii="Calibri" w:hAnsi="Calibri" w:cs="Calibri"/>
                <w:sz w:val="20"/>
                <w:szCs w:val="20"/>
              </w:rPr>
              <w:t xml:space="preserve">ф</w:t>
            </w:r>
            <w:r>
              <w:rPr>
                <w:rFonts w:hint="eastAsia"/>
                <w:sz w:val="20"/>
                <w:szCs w:val="20"/>
              </w:rPr>
              <w:t xml:space="preserve">25mm，厚度≥1.2mm不锈钢定形管</w:t>
            </w:r>
            <w:r>
              <w:rPr>
                <w:rFonts w:hint="eastAsia"/>
                <w:sz w:val="20"/>
                <w:szCs w:val="20"/>
              </w:rPr>
              <w:br/>
              <w:t xml:space="preserve">配SUS304 不锈钢调节子弹脚</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1</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1815"/>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13</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双层工作台2</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1800*760*800</w:t>
            </w:r>
            <w:r/>
          </w:p>
        </w:tc>
        <w:tc>
          <w:tcPr>
            <w:tcBorders>
              <w:top w:val="none" w:color="000000" w:sz="4" w:space="0"/>
              <w:left w:val="none" w:color="000000" w:sz="4" w:space="0"/>
              <w:bottom w:val="single" w:color="auto" w:sz="4" w:space="0"/>
              <w:right w:val="single" w:color="auto" w:sz="4" w:space="0"/>
            </w:tcBorders>
            <w:tcW w:w="4612" w:type="dxa"/>
            <w:textDirection w:val="lrTb"/>
            <w:noWrap w:val="false"/>
          </w:tcPr>
          <w:p>
            <w:pPr>
              <w:rPr>
                <w:rFonts w:hint="eastAsia"/>
                <w:sz w:val="20"/>
                <w:szCs w:val="20"/>
              </w:rPr>
            </w:pPr>
            <w:r>
              <w:rPr>
                <w:rFonts w:hint="eastAsia"/>
                <w:sz w:val="20"/>
                <w:szCs w:val="20"/>
              </w:rPr>
              <w:t xml:space="preserve">台面:采用SUS304 ≥1.5mm不锈钢板</w:t>
            </w:r>
            <w:r>
              <w:rPr>
                <w:rFonts w:hint="eastAsia"/>
                <w:sz w:val="20"/>
                <w:szCs w:val="20"/>
              </w:rPr>
              <w:br/>
              <w:t xml:space="preserve">层板：采用SUS304 ≥1.2mm不锈钢板</w:t>
            </w:r>
            <w:r>
              <w:rPr>
                <w:rFonts w:hint="eastAsia"/>
                <w:sz w:val="20"/>
                <w:szCs w:val="20"/>
              </w:rPr>
              <w:br/>
              <w:t xml:space="preserve">加强筋：采用SUS304 ≥1.2mm不锈钢板</w:t>
            </w:r>
            <w:r>
              <w:rPr>
                <w:rFonts w:hint="eastAsia"/>
                <w:sz w:val="20"/>
                <w:szCs w:val="20"/>
              </w:rPr>
              <w:br/>
              <w:t xml:space="preserve">脚架：采用SUS304 </w:t>
            </w:r>
            <w:r>
              <w:rPr>
                <w:rFonts w:ascii="Calibri" w:hAnsi="Calibri" w:cs="Calibri"/>
                <w:sz w:val="20"/>
                <w:szCs w:val="20"/>
              </w:rPr>
              <w:t xml:space="preserve">φ</w:t>
            </w:r>
            <w:r>
              <w:rPr>
                <w:rFonts w:hint="eastAsia"/>
                <w:sz w:val="20"/>
                <w:szCs w:val="20"/>
              </w:rPr>
              <w:t xml:space="preserve">38mm，厚度≥1.5mm不锈钢定形管                     </w:t>
            </w:r>
            <w:r>
              <w:rPr>
                <w:rFonts w:hint="eastAsia"/>
                <w:sz w:val="20"/>
                <w:szCs w:val="20"/>
              </w:rPr>
              <w:br/>
              <w:t xml:space="preserve">横档：采用SUS304 </w:t>
            </w:r>
            <w:r>
              <w:rPr>
                <w:rFonts w:ascii="Calibri" w:hAnsi="Calibri" w:cs="Calibri"/>
                <w:sz w:val="20"/>
                <w:szCs w:val="20"/>
              </w:rPr>
              <w:t xml:space="preserve">ф</w:t>
            </w:r>
            <w:r>
              <w:rPr>
                <w:rFonts w:hint="eastAsia"/>
                <w:sz w:val="20"/>
                <w:szCs w:val="20"/>
              </w:rPr>
              <w:t xml:space="preserve">25mm，厚度≥1.2mm不锈钢定形管</w:t>
            </w:r>
            <w:r>
              <w:rPr>
                <w:rFonts w:hint="eastAsia"/>
                <w:sz w:val="20"/>
                <w:szCs w:val="20"/>
              </w:rPr>
              <w:br/>
              <w:t xml:space="preserve">配SUS304 不锈钢调节子弹脚</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16</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1815"/>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14</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双层工作台3</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1500*760*800+100</w:t>
            </w:r>
            <w:r/>
          </w:p>
        </w:tc>
        <w:tc>
          <w:tcPr>
            <w:tcBorders>
              <w:top w:val="none" w:color="000000" w:sz="4" w:space="0"/>
              <w:left w:val="none" w:color="000000" w:sz="4" w:space="0"/>
              <w:bottom w:val="single" w:color="auto" w:sz="4" w:space="0"/>
              <w:right w:val="single" w:color="auto" w:sz="4" w:space="0"/>
            </w:tcBorders>
            <w:tcW w:w="4612" w:type="dxa"/>
            <w:textDirection w:val="lrTb"/>
            <w:noWrap w:val="false"/>
          </w:tcPr>
          <w:p>
            <w:pPr>
              <w:rPr>
                <w:rFonts w:hint="eastAsia"/>
                <w:sz w:val="20"/>
                <w:szCs w:val="20"/>
              </w:rPr>
            </w:pPr>
            <w:r>
              <w:rPr>
                <w:rFonts w:hint="eastAsia"/>
                <w:sz w:val="20"/>
                <w:szCs w:val="20"/>
              </w:rPr>
              <w:t xml:space="preserve">台面:采用SUS304 ≥1.5mm不锈钢板</w:t>
            </w:r>
            <w:r>
              <w:rPr>
                <w:rFonts w:hint="eastAsia"/>
                <w:sz w:val="20"/>
                <w:szCs w:val="20"/>
              </w:rPr>
              <w:br/>
              <w:t xml:space="preserve">层板：采用SUS304 ≥1.2mm不锈钢板</w:t>
            </w:r>
            <w:r>
              <w:rPr>
                <w:rFonts w:hint="eastAsia"/>
                <w:sz w:val="20"/>
                <w:szCs w:val="20"/>
              </w:rPr>
              <w:br/>
              <w:t xml:space="preserve">加强筋：采用SUS304 ≥1.2mm不锈钢板</w:t>
            </w:r>
            <w:r>
              <w:rPr>
                <w:rFonts w:hint="eastAsia"/>
                <w:sz w:val="20"/>
                <w:szCs w:val="20"/>
              </w:rPr>
              <w:br/>
              <w:t xml:space="preserve">脚架：采用SUS304 </w:t>
            </w:r>
            <w:r>
              <w:rPr>
                <w:rFonts w:ascii="Calibri" w:hAnsi="Calibri" w:cs="Calibri"/>
                <w:sz w:val="20"/>
                <w:szCs w:val="20"/>
              </w:rPr>
              <w:t xml:space="preserve">φ</w:t>
            </w:r>
            <w:r>
              <w:rPr>
                <w:rFonts w:hint="eastAsia"/>
                <w:sz w:val="20"/>
                <w:szCs w:val="20"/>
              </w:rPr>
              <w:t xml:space="preserve">38mm，厚度≥1.5mm不锈钢定形管                     </w:t>
            </w:r>
            <w:r>
              <w:rPr>
                <w:rFonts w:hint="eastAsia"/>
                <w:sz w:val="20"/>
                <w:szCs w:val="20"/>
              </w:rPr>
              <w:br/>
              <w:t xml:space="preserve">横档：采用SUS304 </w:t>
            </w:r>
            <w:r>
              <w:rPr>
                <w:rFonts w:ascii="Calibri" w:hAnsi="Calibri" w:cs="Calibri"/>
                <w:sz w:val="20"/>
                <w:szCs w:val="20"/>
              </w:rPr>
              <w:t xml:space="preserve">ф</w:t>
            </w:r>
            <w:r>
              <w:rPr>
                <w:rFonts w:hint="eastAsia"/>
                <w:sz w:val="20"/>
                <w:szCs w:val="20"/>
              </w:rPr>
              <w:t xml:space="preserve">25mm，厚度≥1.2mm不锈钢定形管</w:t>
            </w:r>
            <w:r>
              <w:rPr>
                <w:rFonts w:hint="eastAsia"/>
                <w:sz w:val="20"/>
                <w:szCs w:val="20"/>
              </w:rPr>
              <w:br/>
              <w:t xml:space="preserve">配SUS304 不锈钢调节子弹脚</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6</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1815"/>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15</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双层工作台4</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700*760*800+100</w:t>
            </w:r>
            <w:r/>
          </w:p>
        </w:tc>
        <w:tc>
          <w:tcPr>
            <w:tcBorders>
              <w:top w:val="none" w:color="000000" w:sz="4" w:space="0"/>
              <w:left w:val="none" w:color="000000" w:sz="4" w:space="0"/>
              <w:bottom w:val="single" w:color="auto" w:sz="4" w:space="0"/>
              <w:right w:val="single" w:color="auto" w:sz="4" w:space="0"/>
            </w:tcBorders>
            <w:tcW w:w="4612" w:type="dxa"/>
            <w:textDirection w:val="lrTb"/>
            <w:noWrap w:val="false"/>
          </w:tcPr>
          <w:p>
            <w:pPr>
              <w:rPr>
                <w:rFonts w:hint="eastAsia"/>
                <w:sz w:val="20"/>
                <w:szCs w:val="20"/>
              </w:rPr>
            </w:pPr>
            <w:r>
              <w:rPr>
                <w:rFonts w:hint="eastAsia"/>
                <w:sz w:val="20"/>
                <w:szCs w:val="20"/>
              </w:rPr>
              <w:t xml:space="preserve">台面:采用SUS304 ≥1.5mm不锈钢板</w:t>
            </w:r>
            <w:r>
              <w:rPr>
                <w:rFonts w:hint="eastAsia"/>
                <w:sz w:val="20"/>
                <w:szCs w:val="20"/>
              </w:rPr>
              <w:br/>
              <w:t xml:space="preserve">层板：采用SUS304 ≥1.2mm不锈钢板</w:t>
            </w:r>
            <w:r>
              <w:rPr>
                <w:rFonts w:hint="eastAsia"/>
                <w:sz w:val="20"/>
                <w:szCs w:val="20"/>
              </w:rPr>
              <w:br/>
              <w:t xml:space="preserve">加强筋：采用SUS304 ≥1.2mm不锈钢板</w:t>
            </w:r>
            <w:r>
              <w:rPr>
                <w:rFonts w:hint="eastAsia"/>
                <w:sz w:val="20"/>
                <w:szCs w:val="20"/>
              </w:rPr>
              <w:br/>
              <w:t xml:space="preserve">脚架：采用SUS304 </w:t>
            </w:r>
            <w:r>
              <w:rPr>
                <w:rFonts w:ascii="Calibri" w:hAnsi="Calibri" w:cs="Calibri"/>
                <w:sz w:val="20"/>
                <w:szCs w:val="20"/>
              </w:rPr>
              <w:t xml:space="preserve">φ</w:t>
            </w:r>
            <w:r>
              <w:rPr>
                <w:rFonts w:hint="eastAsia"/>
                <w:sz w:val="20"/>
                <w:szCs w:val="20"/>
              </w:rPr>
              <w:t xml:space="preserve">38mm，厚度≥1.5mm不锈钢定形管                     </w:t>
            </w:r>
            <w:r>
              <w:rPr>
                <w:rFonts w:hint="eastAsia"/>
                <w:sz w:val="20"/>
                <w:szCs w:val="20"/>
              </w:rPr>
              <w:br/>
              <w:t xml:space="preserve">横档：采用SUS304 </w:t>
            </w:r>
            <w:r>
              <w:rPr>
                <w:rFonts w:ascii="Calibri" w:hAnsi="Calibri" w:cs="Calibri"/>
                <w:sz w:val="20"/>
                <w:szCs w:val="20"/>
              </w:rPr>
              <w:t xml:space="preserve">ф</w:t>
            </w:r>
            <w:r>
              <w:rPr>
                <w:rFonts w:hint="eastAsia"/>
                <w:sz w:val="20"/>
                <w:szCs w:val="20"/>
              </w:rPr>
              <w:t xml:space="preserve">25mm，厚度≥1.2mm不锈钢定形管</w:t>
            </w:r>
            <w:r>
              <w:rPr>
                <w:rFonts w:hint="eastAsia"/>
                <w:sz w:val="20"/>
                <w:szCs w:val="20"/>
              </w:rPr>
              <w:br/>
              <w:t xml:space="preserve">配SUS304 不锈钢调节子弹脚</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2</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1815"/>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16</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双层工作台5</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1500*800*800</w:t>
            </w:r>
            <w:r/>
          </w:p>
        </w:tc>
        <w:tc>
          <w:tcPr>
            <w:tcBorders>
              <w:top w:val="none" w:color="000000" w:sz="4" w:space="0"/>
              <w:left w:val="none" w:color="000000" w:sz="4" w:space="0"/>
              <w:bottom w:val="single" w:color="auto" w:sz="4" w:space="0"/>
              <w:right w:val="single" w:color="auto" w:sz="4" w:space="0"/>
            </w:tcBorders>
            <w:tcW w:w="4612" w:type="dxa"/>
            <w:textDirection w:val="lrTb"/>
            <w:noWrap w:val="false"/>
          </w:tcPr>
          <w:p>
            <w:pPr>
              <w:rPr>
                <w:rFonts w:hint="eastAsia"/>
                <w:sz w:val="20"/>
                <w:szCs w:val="20"/>
              </w:rPr>
            </w:pPr>
            <w:r>
              <w:rPr>
                <w:rFonts w:hint="eastAsia"/>
                <w:sz w:val="20"/>
                <w:szCs w:val="20"/>
              </w:rPr>
              <w:t xml:space="preserve">台面:采用SUS304 ≥1.5mm不锈钢板</w:t>
            </w:r>
            <w:r>
              <w:rPr>
                <w:rFonts w:hint="eastAsia"/>
                <w:sz w:val="20"/>
                <w:szCs w:val="20"/>
              </w:rPr>
              <w:br/>
              <w:t xml:space="preserve">层板：采用SUS304 ≥1.2mm不锈钢板</w:t>
            </w:r>
            <w:r>
              <w:rPr>
                <w:rFonts w:hint="eastAsia"/>
                <w:sz w:val="20"/>
                <w:szCs w:val="20"/>
              </w:rPr>
              <w:br/>
              <w:t xml:space="preserve">加强筋：采用SUS304 ≥1.2mm不锈钢板</w:t>
            </w:r>
            <w:r>
              <w:rPr>
                <w:rFonts w:hint="eastAsia"/>
                <w:sz w:val="20"/>
                <w:szCs w:val="20"/>
              </w:rPr>
              <w:br/>
              <w:t xml:space="preserve">脚架：采用SUS304 </w:t>
            </w:r>
            <w:r>
              <w:rPr>
                <w:rFonts w:ascii="Calibri" w:hAnsi="Calibri" w:cs="Calibri"/>
                <w:sz w:val="20"/>
                <w:szCs w:val="20"/>
              </w:rPr>
              <w:t xml:space="preserve">φ</w:t>
            </w:r>
            <w:r>
              <w:rPr>
                <w:rFonts w:hint="eastAsia"/>
                <w:sz w:val="20"/>
                <w:szCs w:val="20"/>
              </w:rPr>
              <w:t xml:space="preserve">38mm，厚度≥1.5mm不锈钢定形管                     </w:t>
            </w:r>
            <w:r>
              <w:rPr>
                <w:rFonts w:hint="eastAsia"/>
                <w:sz w:val="20"/>
                <w:szCs w:val="20"/>
              </w:rPr>
              <w:br/>
              <w:t xml:space="preserve">横档：采用SUS304 </w:t>
            </w:r>
            <w:r>
              <w:rPr>
                <w:rFonts w:ascii="Calibri" w:hAnsi="Calibri" w:cs="Calibri"/>
                <w:sz w:val="20"/>
                <w:szCs w:val="20"/>
              </w:rPr>
              <w:t xml:space="preserve">ф</w:t>
            </w:r>
            <w:r>
              <w:rPr>
                <w:rFonts w:hint="eastAsia"/>
                <w:sz w:val="20"/>
                <w:szCs w:val="20"/>
              </w:rPr>
              <w:t xml:space="preserve">25mm，厚度≥1.2mm不锈钢定形管</w:t>
            </w:r>
            <w:r>
              <w:rPr>
                <w:rFonts w:hint="eastAsia"/>
                <w:sz w:val="20"/>
                <w:szCs w:val="20"/>
              </w:rPr>
              <w:br/>
              <w:t xml:space="preserve">配SUS304 不锈钢调节子弹脚</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4</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1815"/>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17</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双层工作台6</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1800*800*800</w:t>
            </w:r>
            <w:r/>
          </w:p>
        </w:tc>
        <w:tc>
          <w:tcPr>
            <w:tcBorders>
              <w:top w:val="none" w:color="000000" w:sz="4" w:space="0"/>
              <w:left w:val="none" w:color="000000" w:sz="4" w:space="0"/>
              <w:bottom w:val="single" w:color="auto" w:sz="4" w:space="0"/>
              <w:right w:val="single" w:color="auto" w:sz="4" w:space="0"/>
            </w:tcBorders>
            <w:tcW w:w="4612" w:type="dxa"/>
            <w:textDirection w:val="lrTb"/>
            <w:noWrap w:val="false"/>
          </w:tcPr>
          <w:p>
            <w:pPr>
              <w:rPr>
                <w:rFonts w:hint="eastAsia"/>
                <w:sz w:val="20"/>
                <w:szCs w:val="20"/>
              </w:rPr>
            </w:pPr>
            <w:r>
              <w:rPr>
                <w:rFonts w:hint="eastAsia"/>
                <w:sz w:val="20"/>
                <w:szCs w:val="20"/>
              </w:rPr>
              <w:t xml:space="preserve">台面:采用SUS304 ≥1.5mm不锈钢板</w:t>
            </w:r>
            <w:r>
              <w:rPr>
                <w:rFonts w:hint="eastAsia"/>
                <w:sz w:val="20"/>
                <w:szCs w:val="20"/>
              </w:rPr>
              <w:br/>
              <w:t xml:space="preserve">层板：采用SUS304 ≥1.2mm不锈钢板</w:t>
            </w:r>
            <w:r>
              <w:rPr>
                <w:rFonts w:hint="eastAsia"/>
                <w:sz w:val="20"/>
                <w:szCs w:val="20"/>
              </w:rPr>
              <w:br/>
              <w:t xml:space="preserve">加强筋：采用SUS304 ≥1.2mm不锈钢板</w:t>
            </w:r>
            <w:r>
              <w:rPr>
                <w:rFonts w:hint="eastAsia"/>
                <w:sz w:val="20"/>
                <w:szCs w:val="20"/>
              </w:rPr>
              <w:br/>
              <w:t xml:space="preserve">脚架：采用SUS304 </w:t>
            </w:r>
            <w:r>
              <w:rPr>
                <w:rFonts w:ascii="Calibri" w:hAnsi="Calibri" w:cs="Calibri"/>
                <w:sz w:val="20"/>
                <w:szCs w:val="20"/>
              </w:rPr>
              <w:t xml:space="preserve">φ</w:t>
            </w:r>
            <w:r>
              <w:rPr>
                <w:rFonts w:hint="eastAsia"/>
                <w:sz w:val="20"/>
                <w:szCs w:val="20"/>
              </w:rPr>
              <w:t xml:space="preserve">38mm，厚度≥1.5mm不锈钢定形管                     </w:t>
            </w:r>
            <w:r>
              <w:rPr>
                <w:rFonts w:hint="eastAsia"/>
                <w:sz w:val="20"/>
                <w:szCs w:val="20"/>
              </w:rPr>
              <w:br/>
              <w:t xml:space="preserve">横档：采用SUS304 </w:t>
            </w:r>
            <w:r>
              <w:rPr>
                <w:rFonts w:ascii="Calibri" w:hAnsi="Calibri" w:cs="Calibri"/>
                <w:sz w:val="20"/>
                <w:szCs w:val="20"/>
              </w:rPr>
              <w:t xml:space="preserve">ф</w:t>
            </w:r>
            <w:r>
              <w:rPr>
                <w:rFonts w:hint="eastAsia"/>
                <w:sz w:val="20"/>
                <w:szCs w:val="20"/>
              </w:rPr>
              <w:t xml:space="preserve">25mm，厚度≥1.2mm不锈钢定形管</w:t>
            </w:r>
            <w:r>
              <w:rPr>
                <w:rFonts w:hint="eastAsia"/>
                <w:sz w:val="20"/>
                <w:szCs w:val="20"/>
              </w:rPr>
              <w:br/>
              <w:t xml:space="preserve">配SUS304 不锈钢调节子弹脚</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8</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1815"/>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18</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双层工作台7</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1200*600*800</w:t>
            </w:r>
            <w:r/>
          </w:p>
        </w:tc>
        <w:tc>
          <w:tcPr>
            <w:tcBorders>
              <w:top w:val="none" w:color="000000" w:sz="4" w:space="0"/>
              <w:left w:val="none" w:color="000000" w:sz="4" w:space="0"/>
              <w:bottom w:val="single" w:color="auto" w:sz="4" w:space="0"/>
              <w:right w:val="single" w:color="auto" w:sz="4" w:space="0"/>
            </w:tcBorders>
            <w:tcW w:w="4612" w:type="dxa"/>
            <w:textDirection w:val="lrTb"/>
            <w:noWrap w:val="false"/>
          </w:tcPr>
          <w:p>
            <w:pPr>
              <w:rPr>
                <w:rFonts w:hint="eastAsia"/>
                <w:sz w:val="20"/>
                <w:szCs w:val="20"/>
              </w:rPr>
            </w:pPr>
            <w:r>
              <w:rPr>
                <w:rFonts w:hint="eastAsia"/>
                <w:sz w:val="20"/>
                <w:szCs w:val="20"/>
              </w:rPr>
              <w:t xml:space="preserve">台面:采用SUS304 ≥1.5mm不锈钢板</w:t>
            </w:r>
            <w:r>
              <w:rPr>
                <w:rFonts w:hint="eastAsia"/>
                <w:sz w:val="20"/>
                <w:szCs w:val="20"/>
              </w:rPr>
              <w:br/>
              <w:t xml:space="preserve">层板：采用SUS304 ≥1.2mm不锈钢板</w:t>
            </w:r>
            <w:r>
              <w:rPr>
                <w:rFonts w:hint="eastAsia"/>
                <w:sz w:val="20"/>
                <w:szCs w:val="20"/>
              </w:rPr>
              <w:br/>
              <w:t xml:space="preserve">加强筋：采用SUS304 ≥1.2mm不锈钢板</w:t>
            </w:r>
            <w:r>
              <w:rPr>
                <w:rFonts w:hint="eastAsia"/>
                <w:sz w:val="20"/>
                <w:szCs w:val="20"/>
              </w:rPr>
              <w:br/>
              <w:t xml:space="preserve">脚架：采用SUS304 ≥</w:t>
            </w:r>
            <w:r>
              <w:rPr>
                <w:rFonts w:ascii="Calibri" w:hAnsi="Calibri" w:cs="Calibri"/>
                <w:sz w:val="20"/>
                <w:szCs w:val="20"/>
              </w:rPr>
              <w:t xml:space="preserve">φ</w:t>
            </w:r>
            <w:r>
              <w:rPr>
                <w:rFonts w:hint="eastAsia"/>
                <w:sz w:val="20"/>
                <w:szCs w:val="20"/>
              </w:rPr>
              <w:t xml:space="preserve">38mm/1.5mm不锈钢定形管                     </w:t>
            </w:r>
            <w:r>
              <w:rPr>
                <w:rFonts w:hint="eastAsia"/>
                <w:sz w:val="20"/>
                <w:szCs w:val="20"/>
              </w:rPr>
              <w:br/>
              <w:t xml:space="preserve">横档：采用SUS304 ≥</w:t>
            </w:r>
            <w:r>
              <w:rPr>
                <w:rFonts w:ascii="Calibri" w:hAnsi="Calibri" w:cs="Calibri"/>
                <w:sz w:val="20"/>
                <w:szCs w:val="20"/>
              </w:rPr>
              <w:t xml:space="preserve">ф</w:t>
            </w:r>
            <w:r>
              <w:rPr>
                <w:rFonts w:hint="eastAsia"/>
                <w:sz w:val="20"/>
                <w:szCs w:val="20"/>
              </w:rPr>
              <w:t xml:space="preserve">25mm/1.2mm不锈钢定形管</w:t>
            </w:r>
            <w:r>
              <w:rPr>
                <w:rFonts w:hint="eastAsia"/>
                <w:sz w:val="20"/>
                <w:szCs w:val="20"/>
              </w:rPr>
              <w:br/>
              <w:t xml:space="preserve">配SUS304 不锈钢调节子弹脚</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2</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1815"/>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19</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双层工作台8</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1200*760*800+100</w:t>
            </w:r>
            <w:r/>
          </w:p>
        </w:tc>
        <w:tc>
          <w:tcPr>
            <w:tcBorders>
              <w:top w:val="none" w:color="000000" w:sz="4" w:space="0"/>
              <w:left w:val="none" w:color="000000" w:sz="4" w:space="0"/>
              <w:bottom w:val="single" w:color="auto" w:sz="4" w:space="0"/>
              <w:right w:val="single" w:color="auto" w:sz="4" w:space="0"/>
            </w:tcBorders>
            <w:tcW w:w="4612" w:type="dxa"/>
            <w:textDirection w:val="lrTb"/>
            <w:noWrap w:val="false"/>
          </w:tcPr>
          <w:p>
            <w:pPr>
              <w:rPr>
                <w:rFonts w:hint="eastAsia"/>
                <w:sz w:val="20"/>
                <w:szCs w:val="20"/>
              </w:rPr>
            </w:pPr>
            <w:r>
              <w:rPr>
                <w:rFonts w:hint="eastAsia"/>
                <w:sz w:val="20"/>
                <w:szCs w:val="20"/>
              </w:rPr>
              <w:t xml:space="preserve">台面:采用SUS304 ≥1.5mm不锈钢板</w:t>
            </w:r>
            <w:r>
              <w:rPr>
                <w:rFonts w:hint="eastAsia"/>
                <w:sz w:val="20"/>
                <w:szCs w:val="20"/>
              </w:rPr>
              <w:br/>
              <w:t xml:space="preserve">层板：采用SUS304 ≥1.2mm不锈钢板</w:t>
            </w:r>
            <w:r>
              <w:rPr>
                <w:rFonts w:hint="eastAsia"/>
                <w:sz w:val="20"/>
                <w:szCs w:val="20"/>
              </w:rPr>
              <w:br/>
              <w:t xml:space="preserve">加强筋：采用SUS304 ≥1.2mm不锈钢板</w:t>
            </w:r>
            <w:r>
              <w:rPr>
                <w:rFonts w:hint="eastAsia"/>
                <w:sz w:val="20"/>
                <w:szCs w:val="20"/>
              </w:rPr>
              <w:br/>
              <w:t xml:space="preserve">脚架：采用SUS304 </w:t>
            </w:r>
            <w:r>
              <w:rPr>
                <w:rFonts w:ascii="Calibri" w:hAnsi="Calibri" w:cs="Calibri"/>
                <w:sz w:val="20"/>
                <w:szCs w:val="20"/>
              </w:rPr>
              <w:t xml:space="preserve">φ</w:t>
            </w:r>
            <w:r>
              <w:rPr>
                <w:rFonts w:hint="eastAsia"/>
                <w:sz w:val="20"/>
                <w:szCs w:val="20"/>
              </w:rPr>
              <w:t xml:space="preserve">38mm，厚度≥1.5mm不锈钢定形管                     </w:t>
            </w:r>
            <w:r>
              <w:rPr>
                <w:rFonts w:hint="eastAsia"/>
                <w:sz w:val="20"/>
                <w:szCs w:val="20"/>
              </w:rPr>
              <w:br/>
              <w:t xml:space="preserve">横档：采用SUS304 </w:t>
            </w:r>
            <w:r>
              <w:rPr>
                <w:rFonts w:ascii="Calibri" w:hAnsi="Calibri" w:cs="Calibri"/>
                <w:sz w:val="20"/>
                <w:szCs w:val="20"/>
              </w:rPr>
              <w:t xml:space="preserve">ф</w:t>
            </w:r>
            <w:r>
              <w:rPr>
                <w:rFonts w:hint="eastAsia"/>
                <w:sz w:val="20"/>
                <w:szCs w:val="20"/>
              </w:rPr>
              <w:t xml:space="preserve">25mm，厚度≥1.2mm不锈钢定形管</w:t>
            </w:r>
            <w:r>
              <w:rPr>
                <w:rFonts w:hint="eastAsia"/>
                <w:sz w:val="20"/>
                <w:szCs w:val="20"/>
              </w:rPr>
              <w:br/>
              <w:t xml:space="preserve">配SUS304 不锈钢调节子弹脚</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2</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1815"/>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20</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双层工作台9</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600*700*800+100</w:t>
            </w:r>
            <w:r/>
          </w:p>
        </w:tc>
        <w:tc>
          <w:tcPr>
            <w:tcBorders>
              <w:top w:val="none" w:color="000000" w:sz="4" w:space="0"/>
              <w:left w:val="none" w:color="000000" w:sz="4" w:space="0"/>
              <w:bottom w:val="single" w:color="auto" w:sz="4" w:space="0"/>
              <w:right w:val="single" w:color="auto" w:sz="4" w:space="0"/>
            </w:tcBorders>
            <w:tcW w:w="4612" w:type="dxa"/>
            <w:textDirection w:val="lrTb"/>
            <w:noWrap w:val="false"/>
          </w:tcPr>
          <w:p>
            <w:pPr>
              <w:rPr>
                <w:rFonts w:hint="eastAsia"/>
                <w:sz w:val="20"/>
                <w:szCs w:val="20"/>
              </w:rPr>
            </w:pPr>
            <w:r>
              <w:rPr>
                <w:rFonts w:hint="eastAsia"/>
                <w:sz w:val="20"/>
                <w:szCs w:val="20"/>
              </w:rPr>
              <w:t xml:space="preserve">台面:采用SUS304 ≥1.5mm不锈钢板</w:t>
            </w:r>
            <w:r>
              <w:rPr>
                <w:rFonts w:hint="eastAsia"/>
                <w:sz w:val="20"/>
                <w:szCs w:val="20"/>
              </w:rPr>
              <w:br/>
              <w:t xml:space="preserve">层板：采用SUS304 ≥1.2mm不锈钢板</w:t>
            </w:r>
            <w:r>
              <w:rPr>
                <w:rFonts w:hint="eastAsia"/>
                <w:sz w:val="20"/>
                <w:szCs w:val="20"/>
              </w:rPr>
              <w:br/>
              <w:t xml:space="preserve">加强筋：采用SUS304 ≥1.2mm不锈钢板</w:t>
            </w:r>
            <w:r>
              <w:rPr>
                <w:rFonts w:hint="eastAsia"/>
                <w:sz w:val="20"/>
                <w:szCs w:val="20"/>
              </w:rPr>
              <w:br/>
              <w:t xml:space="preserve">脚架：采用SUS304 </w:t>
            </w:r>
            <w:r>
              <w:rPr>
                <w:rFonts w:ascii="Calibri" w:hAnsi="Calibri" w:cs="Calibri"/>
                <w:sz w:val="20"/>
                <w:szCs w:val="20"/>
              </w:rPr>
              <w:t xml:space="preserve">φ</w:t>
            </w:r>
            <w:r>
              <w:rPr>
                <w:rFonts w:hint="eastAsia"/>
                <w:sz w:val="20"/>
                <w:szCs w:val="20"/>
              </w:rPr>
              <w:t xml:space="preserve">38mm，厚度≥1.5mm不锈钢定形管                     </w:t>
            </w:r>
            <w:r>
              <w:rPr>
                <w:rFonts w:hint="eastAsia"/>
                <w:sz w:val="20"/>
                <w:szCs w:val="20"/>
              </w:rPr>
              <w:br/>
              <w:t xml:space="preserve">横档：采用SUS304 </w:t>
            </w:r>
            <w:r>
              <w:rPr>
                <w:rFonts w:ascii="Calibri" w:hAnsi="Calibri" w:cs="Calibri"/>
                <w:sz w:val="20"/>
                <w:szCs w:val="20"/>
              </w:rPr>
              <w:t xml:space="preserve">ф</w:t>
            </w:r>
            <w:r>
              <w:rPr>
                <w:rFonts w:hint="eastAsia"/>
                <w:sz w:val="20"/>
                <w:szCs w:val="20"/>
              </w:rPr>
              <w:t xml:space="preserve">25mm，厚度≥1.2mm不锈钢定形管</w:t>
            </w:r>
            <w:r>
              <w:rPr>
                <w:rFonts w:hint="eastAsia"/>
                <w:sz w:val="20"/>
                <w:szCs w:val="20"/>
              </w:rPr>
              <w:br/>
              <w:t xml:space="preserve">配SUS304 不锈钢调节子弹脚</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7</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1815"/>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21</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双层工作台10</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1800*760*800+100</w:t>
            </w:r>
            <w:r/>
          </w:p>
        </w:tc>
        <w:tc>
          <w:tcPr>
            <w:tcBorders>
              <w:top w:val="none" w:color="000000" w:sz="4" w:space="0"/>
              <w:left w:val="none" w:color="000000" w:sz="4" w:space="0"/>
              <w:bottom w:val="single" w:color="auto" w:sz="4" w:space="0"/>
              <w:right w:val="single" w:color="auto" w:sz="4" w:space="0"/>
            </w:tcBorders>
            <w:tcW w:w="4612" w:type="dxa"/>
            <w:textDirection w:val="lrTb"/>
            <w:noWrap w:val="false"/>
          </w:tcPr>
          <w:p>
            <w:pPr>
              <w:rPr>
                <w:rFonts w:hint="eastAsia"/>
                <w:sz w:val="20"/>
                <w:szCs w:val="20"/>
              </w:rPr>
            </w:pPr>
            <w:r>
              <w:rPr>
                <w:rFonts w:hint="eastAsia"/>
                <w:sz w:val="20"/>
                <w:szCs w:val="20"/>
              </w:rPr>
              <w:t xml:space="preserve">台面:采用SUS304 ≥1.5mm不锈钢板</w:t>
            </w:r>
            <w:r>
              <w:rPr>
                <w:rFonts w:hint="eastAsia"/>
                <w:sz w:val="20"/>
                <w:szCs w:val="20"/>
              </w:rPr>
              <w:br/>
              <w:t xml:space="preserve">层板：采用SUS304 ≥1.2mm不锈钢板</w:t>
            </w:r>
            <w:r>
              <w:rPr>
                <w:rFonts w:hint="eastAsia"/>
                <w:sz w:val="20"/>
                <w:szCs w:val="20"/>
              </w:rPr>
              <w:br/>
              <w:t xml:space="preserve">加强筋：采用SUS304 ≥1.2mm不锈钢板</w:t>
            </w:r>
            <w:r>
              <w:rPr>
                <w:rFonts w:hint="eastAsia"/>
                <w:sz w:val="20"/>
                <w:szCs w:val="20"/>
              </w:rPr>
              <w:br/>
              <w:t xml:space="preserve">脚架：采用SUS304 </w:t>
            </w:r>
            <w:r>
              <w:rPr>
                <w:rFonts w:ascii="Calibri" w:hAnsi="Calibri" w:cs="Calibri"/>
                <w:sz w:val="20"/>
                <w:szCs w:val="20"/>
              </w:rPr>
              <w:t xml:space="preserve">φ</w:t>
            </w:r>
            <w:r>
              <w:rPr>
                <w:rFonts w:hint="eastAsia"/>
                <w:sz w:val="20"/>
                <w:szCs w:val="20"/>
              </w:rPr>
              <w:t xml:space="preserve">38mm，厚度≥1.5mm不锈钢定形管                     </w:t>
            </w:r>
            <w:r>
              <w:rPr>
                <w:rFonts w:hint="eastAsia"/>
                <w:sz w:val="20"/>
                <w:szCs w:val="20"/>
              </w:rPr>
              <w:br/>
              <w:t xml:space="preserve">横档：采用SUS304 </w:t>
            </w:r>
            <w:r>
              <w:rPr>
                <w:rFonts w:ascii="Calibri" w:hAnsi="Calibri" w:cs="Calibri"/>
                <w:sz w:val="20"/>
                <w:szCs w:val="20"/>
              </w:rPr>
              <w:t xml:space="preserve">ф</w:t>
            </w:r>
            <w:r>
              <w:rPr>
                <w:rFonts w:hint="eastAsia"/>
                <w:sz w:val="20"/>
                <w:szCs w:val="20"/>
              </w:rPr>
              <w:t xml:space="preserve">25mm，厚度≥1.2mm不锈钢定形管</w:t>
            </w:r>
            <w:r>
              <w:rPr>
                <w:rFonts w:hint="eastAsia"/>
                <w:sz w:val="20"/>
                <w:szCs w:val="20"/>
              </w:rPr>
              <w:br/>
              <w:t xml:space="preserve">配SUS304 不锈钢调节子弹脚</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5</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1815"/>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22</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双层工作台11</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1500*700*800</w:t>
            </w:r>
            <w:r/>
          </w:p>
        </w:tc>
        <w:tc>
          <w:tcPr>
            <w:tcBorders>
              <w:top w:val="none" w:color="000000" w:sz="4" w:space="0"/>
              <w:left w:val="none" w:color="000000" w:sz="4" w:space="0"/>
              <w:bottom w:val="single" w:color="auto" w:sz="4" w:space="0"/>
              <w:right w:val="single" w:color="auto" w:sz="4" w:space="0"/>
            </w:tcBorders>
            <w:tcW w:w="4612" w:type="dxa"/>
            <w:textDirection w:val="lrTb"/>
            <w:noWrap w:val="false"/>
          </w:tcPr>
          <w:p>
            <w:pPr>
              <w:rPr>
                <w:rFonts w:hint="eastAsia"/>
                <w:sz w:val="20"/>
                <w:szCs w:val="20"/>
              </w:rPr>
            </w:pPr>
            <w:r>
              <w:rPr>
                <w:rFonts w:hint="eastAsia"/>
                <w:sz w:val="20"/>
                <w:szCs w:val="20"/>
              </w:rPr>
              <w:t xml:space="preserve">台面:采用SUS304 ≥1.5mm不锈钢板</w:t>
            </w:r>
            <w:r>
              <w:rPr>
                <w:rFonts w:hint="eastAsia"/>
                <w:sz w:val="20"/>
                <w:szCs w:val="20"/>
              </w:rPr>
              <w:br/>
              <w:t xml:space="preserve">层板：采用SUS304 ≥1.2mm不锈钢板</w:t>
            </w:r>
            <w:r>
              <w:rPr>
                <w:rFonts w:hint="eastAsia"/>
                <w:sz w:val="20"/>
                <w:szCs w:val="20"/>
              </w:rPr>
              <w:br/>
              <w:t xml:space="preserve">加强筋：采用SUS304 ≥1.2mm不锈钢板</w:t>
            </w:r>
            <w:r>
              <w:rPr>
                <w:rFonts w:hint="eastAsia"/>
                <w:sz w:val="20"/>
                <w:szCs w:val="20"/>
              </w:rPr>
              <w:br/>
              <w:t xml:space="preserve">脚架：采用SUS304 </w:t>
            </w:r>
            <w:r>
              <w:rPr>
                <w:rFonts w:ascii="Calibri" w:hAnsi="Calibri" w:cs="Calibri"/>
                <w:sz w:val="20"/>
                <w:szCs w:val="20"/>
              </w:rPr>
              <w:t xml:space="preserve">φ</w:t>
            </w:r>
            <w:r>
              <w:rPr>
                <w:rFonts w:hint="eastAsia"/>
                <w:sz w:val="20"/>
                <w:szCs w:val="20"/>
              </w:rPr>
              <w:t xml:space="preserve">38mm，厚度≥1.5mm不锈钢定形管                     </w:t>
            </w:r>
            <w:r>
              <w:rPr>
                <w:rFonts w:hint="eastAsia"/>
                <w:sz w:val="20"/>
                <w:szCs w:val="20"/>
              </w:rPr>
              <w:br/>
              <w:t xml:space="preserve">横档：采用SUS304 </w:t>
            </w:r>
            <w:r>
              <w:rPr>
                <w:rFonts w:ascii="Calibri" w:hAnsi="Calibri" w:cs="Calibri"/>
                <w:sz w:val="20"/>
                <w:szCs w:val="20"/>
              </w:rPr>
              <w:t xml:space="preserve">ф</w:t>
            </w:r>
            <w:r>
              <w:rPr>
                <w:rFonts w:hint="eastAsia"/>
                <w:sz w:val="20"/>
                <w:szCs w:val="20"/>
              </w:rPr>
              <w:t xml:space="preserve">25mm，厚度≥1.2mm不锈钢定形管</w:t>
            </w:r>
            <w:r>
              <w:rPr>
                <w:rFonts w:hint="eastAsia"/>
                <w:sz w:val="20"/>
                <w:szCs w:val="20"/>
              </w:rPr>
              <w:br/>
              <w:t xml:space="preserve">配SUS304 不锈钢调节子弹脚</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9</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1815"/>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23</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双层工作台12</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1200*700*800</w:t>
            </w:r>
            <w:r/>
          </w:p>
        </w:tc>
        <w:tc>
          <w:tcPr>
            <w:tcBorders>
              <w:top w:val="none" w:color="000000" w:sz="4" w:space="0"/>
              <w:left w:val="none" w:color="000000" w:sz="4" w:space="0"/>
              <w:bottom w:val="single" w:color="auto" w:sz="4" w:space="0"/>
              <w:right w:val="single" w:color="auto" w:sz="4" w:space="0"/>
            </w:tcBorders>
            <w:tcW w:w="4612" w:type="dxa"/>
            <w:textDirection w:val="lrTb"/>
            <w:noWrap w:val="false"/>
          </w:tcPr>
          <w:p>
            <w:pPr>
              <w:rPr>
                <w:rFonts w:hint="eastAsia"/>
                <w:sz w:val="20"/>
                <w:szCs w:val="20"/>
              </w:rPr>
            </w:pPr>
            <w:r>
              <w:rPr>
                <w:rFonts w:hint="eastAsia"/>
                <w:sz w:val="20"/>
                <w:szCs w:val="20"/>
              </w:rPr>
              <w:t xml:space="preserve">台面:采用SUS304 ≥1.5mm不锈钢板</w:t>
            </w:r>
            <w:r>
              <w:rPr>
                <w:rFonts w:hint="eastAsia"/>
                <w:sz w:val="20"/>
                <w:szCs w:val="20"/>
              </w:rPr>
              <w:br/>
              <w:t xml:space="preserve">层板：采用SUS304 ≥1.2mm不锈钢板</w:t>
            </w:r>
            <w:r>
              <w:rPr>
                <w:rFonts w:hint="eastAsia"/>
                <w:sz w:val="20"/>
                <w:szCs w:val="20"/>
              </w:rPr>
              <w:br/>
              <w:t xml:space="preserve">加强筋：采用SUS304 ≥1.2mm不锈钢板</w:t>
            </w:r>
            <w:r>
              <w:rPr>
                <w:rFonts w:hint="eastAsia"/>
                <w:sz w:val="20"/>
                <w:szCs w:val="20"/>
              </w:rPr>
              <w:br/>
              <w:t xml:space="preserve">脚架：采用SUS304 </w:t>
            </w:r>
            <w:r>
              <w:rPr>
                <w:rFonts w:ascii="Calibri" w:hAnsi="Calibri" w:cs="Calibri"/>
                <w:sz w:val="20"/>
                <w:szCs w:val="20"/>
              </w:rPr>
              <w:t xml:space="preserve">φ</w:t>
            </w:r>
            <w:r>
              <w:rPr>
                <w:rFonts w:hint="eastAsia"/>
                <w:sz w:val="20"/>
                <w:szCs w:val="20"/>
              </w:rPr>
              <w:t xml:space="preserve">38mm，厚度≥1.5mm不锈钢定形管                     </w:t>
            </w:r>
            <w:r>
              <w:rPr>
                <w:rFonts w:hint="eastAsia"/>
                <w:sz w:val="20"/>
                <w:szCs w:val="20"/>
              </w:rPr>
              <w:br/>
              <w:t xml:space="preserve">横档：采用SUS304 </w:t>
            </w:r>
            <w:r>
              <w:rPr>
                <w:rFonts w:ascii="Calibri" w:hAnsi="Calibri" w:cs="Calibri"/>
                <w:sz w:val="20"/>
                <w:szCs w:val="20"/>
              </w:rPr>
              <w:t xml:space="preserve">ф</w:t>
            </w:r>
            <w:r>
              <w:rPr>
                <w:rFonts w:hint="eastAsia"/>
                <w:sz w:val="20"/>
                <w:szCs w:val="20"/>
              </w:rPr>
              <w:t xml:space="preserve">25mm，厚度≥1.2mm不锈钢定形管</w:t>
            </w:r>
            <w:r>
              <w:rPr>
                <w:rFonts w:hint="eastAsia"/>
                <w:sz w:val="20"/>
                <w:szCs w:val="20"/>
              </w:rPr>
              <w:br/>
              <w:t xml:space="preserve">配SUS304 不锈钢调节子弹脚</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4</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1815"/>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24</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双层工作台13</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600*700*800</w:t>
            </w:r>
            <w:r/>
          </w:p>
        </w:tc>
        <w:tc>
          <w:tcPr>
            <w:tcBorders>
              <w:top w:val="none" w:color="000000" w:sz="4" w:space="0"/>
              <w:left w:val="none" w:color="000000" w:sz="4" w:space="0"/>
              <w:bottom w:val="single" w:color="auto" w:sz="4" w:space="0"/>
              <w:right w:val="single" w:color="auto" w:sz="4" w:space="0"/>
            </w:tcBorders>
            <w:tcW w:w="4612" w:type="dxa"/>
            <w:textDirection w:val="lrTb"/>
            <w:noWrap w:val="false"/>
          </w:tcPr>
          <w:p>
            <w:pPr>
              <w:rPr>
                <w:rFonts w:hint="eastAsia"/>
                <w:sz w:val="20"/>
                <w:szCs w:val="20"/>
              </w:rPr>
            </w:pPr>
            <w:r>
              <w:rPr>
                <w:rFonts w:hint="eastAsia"/>
                <w:sz w:val="20"/>
                <w:szCs w:val="20"/>
              </w:rPr>
              <w:t xml:space="preserve">台面:采用SUS304 ≥1.5mm不锈钢板</w:t>
            </w:r>
            <w:r>
              <w:rPr>
                <w:rFonts w:hint="eastAsia"/>
                <w:sz w:val="20"/>
                <w:szCs w:val="20"/>
              </w:rPr>
              <w:br/>
              <w:t xml:space="preserve">层板：采用SUS304 ≥1.2mm不锈钢板</w:t>
            </w:r>
            <w:r>
              <w:rPr>
                <w:rFonts w:hint="eastAsia"/>
                <w:sz w:val="20"/>
                <w:szCs w:val="20"/>
              </w:rPr>
              <w:br/>
              <w:t xml:space="preserve">加强筋：采用SUS304 ≥1.2mm不锈钢板</w:t>
            </w:r>
            <w:r>
              <w:rPr>
                <w:rFonts w:hint="eastAsia"/>
                <w:sz w:val="20"/>
                <w:szCs w:val="20"/>
              </w:rPr>
              <w:br/>
              <w:t xml:space="preserve">脚架：采用SUS304 </w:t>
            </w:r>
            <w:r>
              <w:rPr>
                <w:rFonts w:ascii="Calibri" w:hAnsi="Calibri" w:cs="Calibri"/>
                <w:sz w:val="20"/>
                <w:szCs w:val="20"/>
              </w:rPr>
              <w:t xml:space="preserve">φ</w:t>
            </w:r>
            <w:r>
              <w:rPr>
                <w:rFonts w:hint="eastAsia"/>
                <w:sz w:val="20"/>
                <w:szCs w:val="20"/>
              </w:rPr>
              <w:t xml:space="preserve">38mm，厚度≥1.5mm不锈钢定形管                     </w:t>
            </w:r>
            <w:r>
              <w:rPr>
                <w:rFonts w:hint="eastAsia"/>
                <w:sz w:val="20"/>
                <w:szCs w:val="20"/>
              </w:rPr>
              <w:br/>
              <w:t xml:space="preserve">横档：采用SUS304 </w:t>
            </w:r>
            <w:r>
              <w:rPr>
                <w:rFonts w:ascii="Calibri" w:hAnsi="Calibri" w:cs="Calibri"/>
                <w:sz w:val="20"/>
                <w:szCs w:val="20"/>
              </w:rPr>
              <w:t xml:space="preserve">ф</w:t>
            </w:r>
            <w:r>
              <w:rPr>
                <w:rFonts w:hint="eastAsia"/>
                <w:sz w:val="20"/>
                <w:szCs w:val="20"/>
              </w:rPr>
              <w:t xml:space="preserve">25mm，厚度≥1.2mm不锈钢定形管</w:t>
            </w:r>
            <w:r>
              <w:rPr>
                <w:rFonts w:hint="eastAsia"/>
                <w:sz w:val="20"/>
                <w:szCs w:val="20"/>
              </w:rPr>
              <w:br/>
              <w:t xml:space="preserve">配SUS304 不锈钢调节子弹脚</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2</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1815"/>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25</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活动双层工作台</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1800*800*800</w:t>
            </w:r>
            <w:r/>
          </w:p>
        </w:tc>
        <w:tc>
          <w:tcPr>
            <w:tcBorders>
              <w:top w:val="none" w:color="000000" w:sz="4" w:space="0"/>
              <w:left w:val="none" w:color="000000" w:sz="4" w:space="0"/>
              <w:bottom w:val="single" w:color="auto" w:sz="4" w:space="0"/>
              <w:right w:val="single" w:color="auto" w:sz="4" w:space="0"/>
            </w:tcBorders>
            <w:tcW w:w="4612" w:type="dxa"/>
            <w:textDirection w:val="lrTb"/>
            <w:noWrap w:val="false"/>
          </w:tcPr>
          <w:p>
            <w:pPr>
              <w:rPr>
                <w:rFonts w:hint="eastAsia"/>
                <w:sz w:val="20"/>
                <w:szCs w:val="20"/>
              </w:rPr>
            </w:pPr>
            <w:r>
              <w:rPr>
                <w:rFonts w:hint="eastAsia"/>
                <w:sz w:val="20"/>
                <w:szCs w:val="20"/>
              </w:rPr>
              <w:t xml:space="preserve">台面:采用SUS304 ≥1.5mm不锈钢板</w:t>
            </w:r>
            <w:r>
              <w:rPr>
                <w:rFonts w:hint="eastAsia"/>
                <w:sz w:val="20"/>
                <w:szCs w:val="20"/>
              </w:rPr>
              <w:br/>
              <w:t xml:space="preserve">层板：采用SUS304 ≥1.2mm不锈钢板</w:t>
            </w:r>
            <w:r>
              <w:rPr>
                <w:rFonts w:hint="eastAsia"/>
                <w:sz w:val="20"/>
                <w:szCs w:val="20"/>
              </w:rPr>
              <w:br/>
              <w:t xml:space="preserve">加强筋：采用SUS304 ≥1.2mm不锈钢板</w:t>
            </w:r>
            <w:r>
              <w:rPr>
                <w:rFonts w:hint="eastAsia"/>
                <w:sz w:val="20"/>
                <w:szCs w:val="20"/>
              </w:rPr>
              <w:br/>
              <w:t xml:space="preserve">脚架：采用SUS304 </w:t>
            </w:r>
            <w:r>
              <w:rPr>
                <w:rFonts w:ascii="Calibri" w:hAnsi="Calibri" w:cs="Calibri"/>
                <w:sz w:val="20"/>
                <w:szCs w:val="20"/>
              </w:rPr>
              <w:t xml:space="preserve">φ</w:t>
            </w:r>
            <w:r>
              <w:rPr>
                <w:rFonts w:hint="eastAsia"/>
                <w:sz w:val="20"/>
                <w:szCs w:val="20"/>
              </w:rPr>
              <w:t xml:space="preserve">38mm，厚度≥1.5mm不锈钢定形管                     </w:t>
            </w:r>
            <w:r>
              <w:rPr>
                <w:rFonts w:hint="eastAsia"/>
                <w:sz w:val="20"/>
                <w:szCs w:val="20"/>
              </w:rPr>
              <w:br/>
              <w:t xml:space="preserve">横档：采用SUS304 </w:t>
            </w:r>
            <w:r>
              <w:rPr>
                <w:rFonts w:ascii="Calibri" w:hAnsi="Calibri" w:cs="Calibri"/>
                <w:sz w:val="20"/>
                <w:szCs w:val="20"/>
              </w:rPr>
              <w:t xml:space="preserve">ф</w:t>
            </w:r>
            <w:r>
              <w:rPr>
                <w:rFonts w:hint="eastAsia"/>
                <w:sz w:val="20"/>
                <w:szCs w:val="20"/>
              </w:rPr>
              <w:t xml:space="preserve">25mm，厚度≥1.2mm不锈钢定形管</w:t>
            </w:r>
            <w:r>
              <w:rPr>
                <w:rFonts w:hint="eastAsia"/>
                <w:sz w:val="20"/>
                <w:szCs w:val="20"/>
              </w:rPr>
              <w:br/>
              <w:t xml:space="preserve">配SUS304 不锈钢调节子弹脚</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2</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1815"/>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26</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单通工作台柜1</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1500*760*800</w:t>
            </w:r>
            <w:r/>
          </w:p>
        </w:tc>
        <w:tc>
          <w:tcPr>
            <w:tcBorders>
              <w:top w:val="none" w:color="000000" w:sz="4" w:space="0"/>
              <w:left w:val="none" w:color="000000" w:sz="4" w:space="0"/>
              <w:bottom w:val="single" w:color="auto" w:sz="4" w:space="0"/>
              <w:right w:val="single" w:color="auto" w:sz="4" w:space="0"/>
            </w:tcBorders>
            <w:tcW w:w="4612" w:type="dxa"/>
            <w:textDirection w:val="lrTb"/>
            <w:noWrap w:val="false"/>
          </w:tcPr>
          <w:p>
            <w:pPr>
              <w:rPr>
                <w:rFonts w:hint="eastAsia"/>
                <w:sz w:val="20"/>
                <w:szCs w:val="20"/>
              </w:rPr>
            </w:pPr>
            <w:r>
              <w:rPr>
                <w:rFonts w:hint="eastAsia"/>
                <w:sz w:val="20"/>
                <w:szCs w:val="20"/>
              </w:rPr>
              <w:t xml:space="preserve">台面:采用SUS304 ≥1.5mm不锈钢板</w:t>
            </w:r>
            <w:r>
              <w:rPr>
                <w:rFonts w:hint="eastAsia"/>
                <w:sz w:val="20"/>
                <w:szCs w:val="20"/>
              </w:rPr>
              <w:br/>
              <w:t xml:space="preserve">层板：采用SUS304 ≥1.2mm不锈钢板</w:t>
            </w:r>
            <w:r>
              <w:rPr>
                <w:rFonts w:hint="eastAsia"/>
                <w:sz w:val="20"/>
                <w:szCs w:val="20"/>
              </w:rPr>
              <w:br/>
              <w:t xml:space="preserve">加强筋：采用SUS304 ≥1.2mm不锈钢板</w:t>
            </w:r>
            <w:r>
              <w:rPr>
                <w:rFonts w:hint="eastAsia"/>
                <w:sz w:val="20"/>
                <w:szCs w:val="20"/>
              </w:rPr>
              <w:br/>
              <w:t xml:space="preserve">脚架：采用SUS304 </w:t>
            </w:r>
            <w:r>
              <w:rPr>
                <w:rFonts w:ascii="Calibri" w:hAnsi="Calibri" w:cs="Calibri"/>
                <w:sz w:val="20"/>
                <w:szCs w:val="20"/>
              </w:rPr>
              <w:t xml:space="preserve">φ</w:t>
            </w:r>
            <w:r>
              <w:rPr>
                <w:rFonts w:hint="eastAsia"/>
                <w:sz w:val="20"/>
                <w:szCs w:val="20"/>
              </w:rPr>
              <w:t xml:space="preserve">38mm，厚度≥1.5mm不锈钢定形管                     </w:t>
            </w:r>
            <w:r>
              <w:rPr>
                <w:rFonts w:hint="eastAsia"/>
                <w:sz w:val="20"/>
                <w:szCs w:val="20"/>
              </w:rPr>
              <w:br/>
              <w:t xml:space="preserve">横档：采用SUS304 </w:t>
            </w:r>
            <w:r>
              <w:rPr>
                <w:rFonts w:ascii="Calibri" w:hAnsi="Calibri" w:cs="Calibri"/>
                <w:sz w:val="20"/>
                <w:szCs w:val="20"/>
              </w:rPr>
              <w:t xml:space="preserve">ф</w:t>
            </w:r>
            <w:r>
              <w:rPr>
                <w:rFonts w:hint="eastAsia"/>
                <w:sz w:val="20"/>
                <w:szCs w:val="20"/>
              </w:rPr>
              <w:t xml:space="preserve">25mm，厚度≥1.2mm不锈钢定形管</w:t>
            </w:r>
            <w:r>
              <w:rPr>
                <w:rFonts w:hint="eastAsia"/>
                <w:sz w:val="20"/>
                <w:szCs w:val="20"/>
              </w:rPr>
              <w:br/>
              <w:t xml:space="preserve">配SUS304 不锈钢调节子弹脚</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6</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1815"/>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27</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单通工作台柜2</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1800*760*800+100</w:t>
            </w:r>
            <w:r/>
          </w:p>
        </w:tc>
        <w:tc>
          <w:tcPr>
            <w:tcBorders>
              <w:top w:val="none" w:color="000000" w:sz="4" w:space="0"/>
              <w:left w:val="none" w:color="000000" w:sz="4" w:space="0"/>
              <w:bottom w:val="single" w:color="auto" w:sz="4" w:space="0"/>
              <w:right w:val="single" w:color="auto" w:sz="4" w:space="0"/>
            </w:tcBorders>
            <w:tcW w:w="4612" w:type="dxa"/>
            <w:textDirection w:val="lrTb"/>
            <w:noWrap w:val="false"/>
          </w:tcPr>
          <w:p>
            <w:pPr>
              <w:rPr>
                <w:rFonts w:hint="eastAsia"/>
                <w:sz w:val="20"/>
                <w:szCs w:val="20"/>
              </w:rPr>
            </w:pPr>
            <w:r>
              <w:rPr>
                <w:rFonts w:hint="eastAsia"/>
                <w:sz w:val="20"/>
                <w:szCs w:val="20"/>
              </w:rPr>
              <w:t xml:space="preserve">台面:采用SUS304 ≥1.5mm不锈钢板</w:t>
            </w:r>
            <w:r>
              <w:rPr>
                <w:rFonts w:hint="eastAsia"/>
                <w:sz w:val="20"/>
                <w:szCs w:val="20"/>
              </w:rPr>
              <w:br/>
              <w:t xml:space="preserve">层板：采用SUS304 ≥1.2mm不锈钢板</w:t>
            </w:r>
            <w:r>
              <w:rPr>
                <w:rFonts w:hint="eastAsia"/>
                <w:sz w:val="20"/>
                <w:szCs w:val="20"/>
              </w:rPr>
              <w:br/>
              <w:t xml:space="preserve">加强筋：采用SUS304 ≥1.2mm不锈钢板</w:t>
            </w:r>
            <w:r>
              <w:rPr>
                <w:rFonts w:hint="eastAsia"/>
                <w:sz w:val="20"/>
                <w:szCs w:val="20"/>
              </w:rPr>
              <w:br/>
              <w:t xml:space="preserve">脚架：采用SUS304 </w:t>
            </w:r>
            <w:r>
              <w:rPr>
                <w:rFonts w:ascii="Calibri" w:hAnsi="Calibri" w:cs="Calibri"/>
                <w:sz w:val="20"/>
                <w:szCs w:val="20"/>
              </w:rPr>
              <w:t xml:space="preserve">φ</w:t>
            </w:r>
            <w:r>
              <w:rPr>
                <w:rFonts w:hint="eastAsia"/>
                <w:sz w:val="20"/>
                <w:szCs w:val="20"/>
              </w:rPr>
              <w:t xml:space="preserve">38mm，厚度≥1.5mm不锈钢定形管                     </w:t>
            </w:r>
            <w:r>
              <w:rPr>
                <w:rFonts w:hint="eastAsia"/>
                <w:sz w:val="20"/>
                <w:szCs w:val="20"/>
              </w:rPr>
              <w:br/>
              <w:t xml:space="preserve">横档：采用SUS304 </w:t>
            </w:r>
            <w:r>
              <w:rPr>
                <w:rFonts w:ascii="Calibri" w:hAnsi="Calibri" w:cs="Calibri"/>
                <w:sz w:val="20"/>
                <w:szCs w:val="20"/>
              </w:rPr>
              <w:t xml:space="preserve">ф</w:t>
            </w:r>
            <w:r>
              <w:rPr>
                <w:rFonts w:hint="eastAsia"/>
                <w:sz w:val="20"/>
                <w:szCs w:val="20"/>
              </w:rPr>
              <w:t xml:space="preserve">25mm，厚度≥1.2mm不锈钢定形管</w:t>
            </w:r>
            <w:r>
              <w:rPr>
                <w:rFonts w:hint="eastAsia"/>
                <w:sz w:val="20"/>
                <w:szCs w:val="20"/>
              </w:rPr>
              <w:br/>
              <w:t xml:space="preserve">配SUS304 不锈钢调节子弹脚</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13</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1815"/>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28</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单通工作台柜3</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1500*760*800+100</w:t>
            </w:r>
            <w:r/>
          </w:p>
        </w:tc>
        <w:tc>
          <w:tcPr>
            <w:tcBorders>
              <w:top w:val="none" w:color="000000" w:sz="4" w:space="0"/>
              <w:left w:val="none" w:color="000000" w:sz="4" w:space="0"/>
              <w:bottom w:val="single" w:color="auto" w:sz="4" w:space="0"/>
              <w:right w:val="single" w:color="auto" w:sz="4" w:space="0"/>
            </w:tcBorders>
            <w:tcW w:w="4612" w:type="dxa"/>
            <w:textDirection w:val="lrTb"/>
            <w:noWrap w:val="false"/>
          </w:tcPr>
          <w:p>
            <w:pPr>
              <w:rPr>
                <w:rFonts w:hint="eastAsia"/>
                <w:sz w:val="20"/>
                <w:szCs w:val="20"/>
              </w:rPr>
            </w:pPr>
            <w:r>
              <w:rPr>
                <w:rFonts w:hint="eastAsia"/>
                <w:sz w:val="20"/>
                <w:szCs w:val="20"/>
              </w:rPr>
              <w:t xml:space="preserve">台面:采用SUS304 ≥1.5mm不锈钢板</w:t>
            </w:r>
            <w:r>
              <w:rPr>
                <w:rFonts w:hint="eastAsia"/>
                <w:sz w:val="20"/>
                <w:szCs w:val="20"/>
              </w:rPr>
              <w:br/>
              <w:t xml:space="preserve">层板：采用SUS304 ≥1.2mm不锈钢板</w:t>
            </w:r>
            <w:r>
              <w:rPr>
                <w:rFonts w:hint="eastAsia"/>
                <w:sz w:val="20"/>
                <w:szCs w:val="20"/>
              </w:rPr>
              <w:br/>
              <w:t xml:space="preserve">加强筋：采用SUS304 ≥1.2mm不锈钢板</w:t>
            </w:r>
            <w:r>
              <w:rPr>
                <w:rFonts w:hint="eastAsia"/>
                <w:sz w:val="20"/>
                <w:szCs w:val="20"/>
              </w:rPr>
              <w:br/>
              <w:t xml:space="preserve">脚架：采用SUS304 </w:t>
            </w:r>
            <w:r>
              <w:rPr>
                <w:rFonts w:ascii="Calibri" w:hAnsi="Calibri" w:cs="Calibri"/>
                <w:sz w:val="20"/>
                <w:szCs w:val="20"/>
              </w:rPr>
              <w:t xml:space="preserve">φ</w:t>
            </w:r>
            <w:r>
              <w:rPr>
                <w:rFonts w:hint="eastAsia"/>
                <w:sz w:val="20"/>
                <w:szCs w:val="20"/>
              </w:rPr>
              <w:t xml:space="preserve">38mm，厚度≥1.5mm不锈钢定形管                     </w:t>
            </w:r>
            <w:r>
              <w:rPr>
                <w:rFonts w:hint="eastAsia"/>
                <w:sz w:val="20"/>
                <w:szCs w:val="20"/>
              </w:rPr>
              <w:br/>
              <w:t xml:space="preserve">横档：采用SUS304 </w:t>
            </w:r>
            <w:r>
              <w:rPr>
                <w:rFonts w:ascii="Calibri" w:hAnsi="Calibri" w:cs="Calibri"/>
                <w:sz w:val="20"/>
                <w:szCs w:val="20"/>
              </w:rPr>
              <w:t xml:space="preserve">ф</w:t>
            </w:r>
            <w:r>
              <w:rPr>
                <w:rFonts w:hint="eastAsia"/>
                <w:sz w:val="20"/>
                <w:szCs w:val="20"/>
              </w:rPr>
              <w:t xml:space="preserve">25mm，厚度≥1.2mm不锈钢定形管</w:t>
            </w:r>
            <w:r>
              <w:rPr>
                <w:rFonts w:hint="eastAsia"/>
                <w:sz w:val="20"/>
                <w:szCs w:val="20"/>
              </w:rPr>
              <w:br/>
              <w:t xml:space="preserve">配SUS304 不锈钢调节子弹脚</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5</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1815"/>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29</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单通工作台柜4</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1500*700*800</w:t>
            </w:r>
            <w:r/>
          </w:p>
        </w:tc>
        <w:tc>
          <w:tcPr>
            <w:tcBorders>
              <w:top w:val="none" w:color="000000" w:sz="4" w:space="0"/>
              <w:left w:val="none" w:color="000000" w:sz="4" w:space="0"/>
              <w:bottom w:val="single" w:color="auto" w:sz="4" w:space="0"/>
              <w:right w:val="single" w:color="auto" w:sz="4" w:space="0"/>
            </w:tcBorders>
            <w:tcW w:w="4612" w:type="dxa"/>
            <w:textDirection w:val="lrTb"/>
            <w:noWrap w:val="false"/>
          </w:tcPr>
          <w:p>
            <w:pPr>
              <w:rPr>
                <w:rFonts w:hint="eastAsia"/>
                <w:sz w:val="20"/>
                <w:szCs w:val="20"/>
              </w:rPr>
            </w:pPr>
            <w:r>
              <w:rPr>
                <w:rFonts w:hint="eastAsia"/>
                <w:sz w:val="20"/>
                <w:szCs w:val="20"/>
              </w:rPr>
              <w:t xml:space="preserve">台面:采用SUS304 ≥1.5mm不锈钢板</w:t>
            </w:r>
            <w:r>
              <w:rPr>
                <w:rFonts w:hint="eastAsia"/>
                <w:sz w:val="20"/>
                <w:szCs w:val="20"/>
              </w:rPr>
              <w:br/>
              <w:t xml:space="preserve">层板：采用SUS304 ≥1.2mm不锈钢板</w:t>
            </w:r>
            <w:r>
              <w:rPr>
                <w:rFonts w:hint="eastAsia"/>
                <w:sz w:val="20"/>
                <w:szCs w:val="20"/>
              </w:rPr>
              <w:br/>
              <w:t xml:space="preserve">加强筋：采用SUS304 ≥1.2mm不锈钢板</w:t>
            </w:r>
            <w:r>
              <w:rPr>
                <w:rFonts w:hint="eastAsia"/>
                <w:sz w:val="20"/>
                <w:szCs w:val="20"/>
              </w:rPr>
              <w:br/>
              <w:t xml:space="preserve">脚架：采用SUS304 </w:t>
            </w:r>
            <w:r>
              <w:rPr>
                <w:rFonts w:ascii="Calibri" w:hAnsi="Calibri" w:cs="Calibri"/>
                <w:sz w:val="20"/>
                <w:szCs w:val="20"/>
              </w:rPr>
              <w:t xml:space="preserve">φ</w:t>
            </w:r>
            <w:r>
              <w:rPr>
                <w:rFonts w:hint="eastAsia"/>
                <w:sz w:val="20"/>
                <w:szCs w:val="20"/>
              </w:rPr>
              <w:t xml:space="preserve">38mm，厚度≥1.5mm不锈钢定形管                     </w:t>
            </w:r>
            <w:r>
              <w:rPr>
                <w:rFonts w:hint="eastAsia"/>
                <w:sz w:val="20"/>
                <w:szCs w:val="20"/>
              </w:rPr>
              <w:br/>
              <w:t xml:space="preserve">横档：采用SUS304 </w:t>
            </w:r>
            <w:r>
              <w:rPr>
                <w:rFonts w:ascii="Calibri" w:hAnsi="Calibri" w:cs="Calibri"/>
                <w:sz w:val="20"/>
                <w:szCs w:val="20"/>
              </w:rPr>
              <w:t xml:space="preserve">ф</w:t>
            </w:r>
            <w:r>
              <w:rPr>
                <w:rFonts w:hint="eastAsia"/>
                <w:sz w:val="20"/>
                <w:szCs w:val="20"/>
              </w:rPr>
              <w:t xml:space="preserve">25mm，厚度≥1.2mm不锈钢定形管</w:t>
            </w:r>
            <w:r>
              <w:rPr>
                <w:rFonts w:hint="eastAsia"/>
                <w:sz w:val="20"/>
                <w:szCs w:val="20"/>
              </w:rPr>
              <w:br/>
              <w:t xml:space="preserve">配SUS304 不锈钢调节子弹脚</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1</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1815"/>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30</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单通工作台柜5</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1200*700*800</w:t>
            </w:r>
            <w:r/>
          </w:p>
        </w:tc>
        <w:tc>
          <w:tcPr>
            <w:tcBorders>
              <w:top w:val="none" w:color="000000" w:sz="4" w:space="0"/>
              <w:left w:val="none" w:color="000000" w:sz="4" w:space="0"/>
              <w:bottom w:val="single" w:color="auto" w:sz="4" w:space="0"/>
              <w:right w:val="single" w:color="auto" w:sz="4" w:space="0"/>
            </w:tcBorders>
            <w:tcW w:w="4612" w:type="dxa"/>
            <w:textDirection w:val="lrTb"/>
            <w:noWrap w:val="false"/>
          </w:tcPr>
          <w:p>
            <w:pPr>
              <w:rPr>
                <w:rFonts w:hint="eastAsia"/>
                <w:sz w:val="20"/>
                <w:szCs w:val="20"/>
              </w:rPr>
            </w:pPr>
            <w:r>
              <w:rPr>
                <w:rFonts w:hint="eastAsia"/>
                <w:sz w:val="20"/>
                <w:szCs w:val="20"/>
              </w:rPr>
              <w:t xml:space="preserve">台面:采用SUS304 ≥1.5mm不锈钢板</w:t>
            </w:r>
            <w:r>
              <w:rPr>
                <w:rFonts w:hint="eastAsia"/>
                <w:sz w:val="20"/>
                <w:szCs w:val="20"/>
              </w:rPr>
              <w:br/>
              <w:t xml:space="preserve">层板：采用SUS304 ≥1.2mm不锈钢板</w:t>
            </w:r>
            <w:r>
              <w:rPr>
                <w:rFonts w:hint="eastAsia"/>
                <w:sz w:val="20"/>
                <w:szCs w:val="20"/>
              </w:rPr>
              <w:br/>
              <w:t xml:space="preserve">加强筋：采用SUS304 ≥1.2mm不锈钢板</w:t>
            </w:r>
            <w:r>
              <w:rPr>
                <w:rFonts w:hint="eastAsia"/>
                <w:sz w:val="20"/>
                <w:szCs w:val="20"/>
              </w:rPr>
              <w:br/>
              <w:t xml:space="preserve">脚架：采用SUS304 </w:t>
            </w:r>
            <w:r>
              <w:rPr>
                <w:rFonts w:ascii="Calibri" w:hAnsi="Calibri" w:cs="Calibri"/>
                <w:sz w:val="20"/>
                <w:szCs w:val="20"/>
              </w:rPr>
              <w:t xml:space="preserve">φ</w:t>
            </w:r>
            <w:r>
              <w:rPr>
                <w:rFonts w:hint="eastAsia"/>
                <w:sz w:val="20"/>
                <w:szCs w:val="20"/>
              </w:rPr>
              <w:t xml:space="preserve">38mm，厚度≥1.5mm不锈钢定形管                     </w:t>
            </w:r>
            <w:r>
              <w:rPr>
                <w:rFonts w:hint="eastAsia"/>
                <w:sz w:val="20"/>
                <w:szCs w:val="20"/>
              </w:rPr>
              <w:br/>
              <w:t xml:space="preserve">横档：采用SUS304 </w:t>
            </w:r>
            <w:r>
              <w:rPr>
                <w:rFonts w:ascii="Calibri" w:hAnsi="Calibri" w:cs="Calibri"/>
                <w:sz w:val="20"/>
                <w:szCs w:val="20"/>
              </w:rPr>
              <w:t xml:space="preserve">ф</w:t>
            </w:r>
            <w:r>
              <w:rPr>
                <w:rFonts w:hint="eastAsia"/>
                <w:sz w:val="20"/>
                <w:szCs w:val="20"/>
              </w:rPr>
              <w:t xml:space="preserve">25mm，厚度≥1.2mm不锈钢定形管</w:t>
            </w:r>
            <w:r>
              <w:rPr>
                <w:rFonts w:hint="eastAsia"/>
                <w:sz w:val="20"/>
                <w:szCs w:val="20"/>
              </w:rPr>
              <w:br/>
              <w:t xml:space="preserve">配SUS304 不锈钢调节子弹脚</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1</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1815"/>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31</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工作台柜1</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980*760*800+100</w:t>
            </w:r>
            <w:r/>
          </w:p>
        </w:tc>
        <w:tc>
          <w:tcPr>
            <w:tcBorders>
              <w:top w:val="none" w:color="000000" w:sz="4" w:space="0"/>
              <w:left w:val="none" w:color="000000" w:sz="4" w:space="0"/>
              <w:bottom w:val="single" w:color="auto" w:sz="4" w:space="0"/>
              <w:right w:val="single" w:color="auto" w:sz="4" w:space="0"/>
            </w:tcBorders>
            <w:tcW w:w="4612" w:type="dxa"/>
            <w:textDirection w:val="lrTb"/>
            <w:noWrap w:val="false"/>
          </w:tcPr>
          <w:p>
            <w:pPr>
              <w:rPr>
                <w:rFonts w:hint="eastAsia"/>
                <w:sz w:val="20"/>
                <w:szCs w:val="20"/>
              </w:rPr>
            </w:pPr>
            <w:r>
              <w:rPr>
                <w:rFonts w:hint="eastAsia"/>
                <w:sz w:val="20"/>
                <w:szCs w:val="20"/>
              </w:rPr>
              <w:t xml:space="preserve">台面:采用SUS304 ≥1.5mm不锈钢板</w:t>
            </w:r>
            <w:r>
              <w:rPr>
                <w:rFonts w:hint="eastAsia"/>
                <w:sz w:val="20"/>
                <w:szCs w:val="20"/>
              </w:rPr>
              <w:br/>
              <w:t xml:space="preserve">层板：采用SUS304 ≥1.2mm不锈钢板</w:t>
            </w:r>
            <w:r>
              <w:rPr>
                <w:rFonts w:hint="eastAsia"/>
                <w:sz w:val="20"/>
                <w:szCs w:val="20"/>
              </w:rPr>
              <w:br/>
              <w:t xml:space="preserve">加强筋：采用SUS304 ≥1.2mm不锈钢板</w:t>
            </w:r>
            <w:r>
              <w:rPr>
                <w:rFonts w:hint="eastAsia"/>
                <w:sz w:val="20"/>
                <w:szCs w:val="20"/>
              </w:rPr>
              <w:br/>
              <w:t xml:space="preserve">脚架：采用SUS304 </w:t>
            </w:r>
            <w:r>
              <w:rPr>
                <w:rFonts w:ascii="Calibri" w:hAnsi="Calibri" w:cs="Calibri"/>
                <w:sz w:val="20"/>
                <w:szCs w:val="20"/>
              </w:rPr>
              <w:t xml:space="preserve">φ</w:t>
            </w:r>
            <w:r>
              <w:rPr>
                <w:rFonts w:hint="eastAsia"/>
                <w:sz w:val="20"/>
                <w:szCs w:val="20"/>
              </w:rPr>
              <w:t xml:space="preserve">38mm，厚度≥1.5mm不锈钢定形管                     </w:t>
            </w:r>
            <w:r>
              <w:rPr>
                <w:rFonts w:hint="eastAsia"/>
                <w:sz w:val="20"/>
                <w:szCs w:val="20"/>
              </w:rPr>
              <w:br/>
              <w:t xml:space="preserve">横档：采用SUS304 </w:t>
            </w:r>
            <w:r>
              <w:rPr>
                <w:rFonts w:ascii="Calibri" w:hAnsi="Calibri" w:cs="Calibri"/>
                <w:sz w:val="20"/>
                <w:szCs w:val="20"/>
              </w:rPr>
              <w:t xml:space="preserve">ф</w:t>
            </w:r>
            <w:r>
              <w:rPr>
                <w:rFonts w:hint="eastAsia"/>
                <w:sz w:val="20"/>
                <w:szCs w:val="20"/>
              </w:rPr>
              <w:t xml:space="preserve">25mm，厚度≥1.2mm不锈钢定形管</w:t>
            </w:r>
            <w:r>
              <w:rPr>
                <w:rFonts w:hint="eastAsia"/>
                <w:sz w:val="20"/>
                <w:szCs w:val="20"/>
              </w:rPr>
              <w:br/>
              <w:t xml:space="preserve">配SUS304 不锈钢调节子弹脚</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1</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1815"/>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32</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工作台柜2</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1080*760*800+100</w:t>
            </w:r>
            <w:r/>
          </w:p>
        </w:tc>
        <w:tc>
          <w:tcPr>
            <w:tcBorders>
              <w:top w:val="none" w:color="000000" w:sz="4" w:space="0"/>
              <w:left w:val="none" w:color="000000" w:sz="4" w:space="0"/>
              <w:bottom w:val="single" w:color="auto" w:sz="4" w:space="0"/>
              <w:right w:val="single" w:color="auto" w:sz="4" w:space="0"/>
            </w:tcBorders>
            <w:tcW w:w="4612" w:type="dxa"/>
            <w:textDirection w:val="lrTb"/>
            <w:noWrap w:val="false"/>
          </w:tcPr>
          <w:p>
            <w:pPr>
              <w:rPr>
                <w:rFonts w:hint="eastAsia"/>
                <w:sz w:val="20"/>
                <w:szCs w:val="20"/>
              </w:rPr>
            </w:pPr>
            <w:r>
              <w:rPr>
                <w:rFonts w:hint="eastAsia"/>
                <w:sz w:val="20"/>
                <w:szCs w:val="20"/>
              </w:rPr>
              <w:t xml:space="preserve">台面:采用SUS304 ≥1.5mm不锈钢板</w:t>
            </w:r>
            <w:r>
              <w:rPr>
                <w:rFonts w:hint="eastAsia"/>
                <w:sz w:val="20"/>
                <w:szCs w:val="20"/>
              </w:rPr>
              <w:br/>
              <w:t xml:space="preserve">层板：采用SUS304 ≥1.2mm不锈钢板</w:t>
            </w:r>
            <w:r>
              <w:rPr>
                <w:rFonts w:hint="eastAsia"/>
                <w:sz w:val="20"/>
                <w:szCs w:val="20"/>
              </w:rPr>
              <w:br/>
              <w:t xml:space="preserve">加强筋：采用SUS304 ≥1.2mm不锈钢板</w:t>
            </w:r>
            <w:r>
              <w:rPr>
                <w:rFonts w:hint="eastAsia"/>
                <w:sz w:val="20"/>
                <w:szCs w:val="20"/>
              </w:rPr>
              <w:br/>
              <w:t xml:space="preserve">脚架：采用SUS304 </w:t>
            </w:r>
            <w:r>
              <w:rPr>
                <w:rFonts w:ascii="Calibri" w:hAnsi="Calibri" w:cs="Calibri"/>
                <w:sz w:val="20"/>
                <w:szCs w:val="20"/>
              </w:rPr>
              <w:t xml:space="preserve">φ</w:t>
            </w:r>
            <w:r>
              <w:rPr>
                <w:rFonts w:hint="eastAsia"/>
                <w:sz w:val="20"/>
                <w:szCs w:val="20"/>
              </w:rPr>
              <w:t xml:space="preserve">38mm，厚度≥1.5mm不锈钢定形管                     </w:t>
            </w:r>
            <w:r>
              <w:rPr>
                <w:rFonts w:hint="eastAsia"/>
                <w:sz w:val="20"/>
                <w:szCs w:val="20"/>
              </w:rPr>
              <w:br/>
              <w:t xml:space="preserve">横档：采用SUS304 </w:t>
            </w:r>
            <w:r>
              <w:rPr>
                <w:rFonts w:ascii="Calibri" w:hAnsi="Calibri" w:cs="Calibri"/>
                <w:sz w:val="20"/>
                <w:szCs w:val="20"/>
              </w:rPr>
              <w:t xml:space="preserve">ф</w:t>
            </w:r>
            <w:r>
              <w:rPr>
                <w:rFonts w:hint="eastAsia"/>
                <w:sz w:val="20"/>
                <w:szCs w:val="20"/>
              </w:rPr>
              <w:t xml:space="preserve">25mm，厚度≥1.2mm不锈钢定形管</w:t>
            </w:r>
            <w:r>
              <w:rPr>
                <w:rFonts w:hint="eastAsia"/>
                <w:sz w:val="20"/>
                <w:szCs w:val="20"/>
              </w:rPr>
              <w:br/>
              <w:t xml:space="preserve">配SUS304 不锈钢调节子弹脚</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none" w:color="000000"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1</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1815"/>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33</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木案工作台</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1800*800*800</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台面：柳按板厚度为≥50mm</w:t>
            </w:r>
            <w:r>
              <w:rPr>
                <w:rFonts w:hint="eastAsia"/>
                <w:sz w:val="20"/>
                <w:szCs w:val="20"/>
              </w:rPr>
              <w:br/>
              <w:t xml:space="preserve">加强筋：采用SUS304 ≥1.2mm不锈钢板</w:t>
            </w:r>
            <w:r>
              <w:rPr>
                <w:rFonts w:hint="eastAsia"/>
                <w:sz w:val="20"/>
                <w:szCs w:val="20"/>
              </w:rPr>
              <w:br/>
              <w:t xml:space="preserve">脚架：采用SUS304 </w:t>
            </w:r>
            <w:r>
              <w:rPr>
                <w:rFonts w:ascii="Calibri" w:hAnsi="Calibri" w:cs="Calibri"/>
                <w:sz w:val="20"/>
                <w:szCs w:val="20"/>
              </w:rPr>
              <w:t xml:space="preserve">φ</w:t>
            </w:r>
            <w:r>
              <w:rPr>
                <w:rFonts w:hint="eastAsia"/>
                <w:sz w:val="20"/>
                <w:szCs w:val="20"/>
              </w:rPr>
              <w:t xml:space="preserve">38mm，厚度≥1.5mm不锈钢定形管                     </w:t>
            </w:r>
            <w:r>
              <w:rPr>
                <w:rFonts w:hint="eastAsia"/>
                <w:sz w:val="20"/>
                <w:szCs w:val="20"/>
              </w:rPr>
              <w:br/>
              <w:t xml:space="preserve">横档：采用SUS304 </w:t>
            </w:r>
            <w:r>
              <w:rPr>
                <w:rFonts w:ascii="Calibri" w:hAnsi="Calibri" w:cs="Calibri"/>
                <w:sz w:val="20"/>
                <w:szCs w:val="20"/>
              </w:rPr>
              <w:t xml:space="preserve">ф</w:t>
            </w:r>
            <w:r>
              <w:rPr>
                <w:rFonts w:hint="eastAsia"/>
                <w:sz w:val="20"/>
                <w:szCs w:val="20"/>
              </w:rPr>
              <w:t xml:space="preserve">25mm，厚度≥1.2mm不锈钢定形管</w:t>
            </w:r>
            <w:r>
              <w:rPr>
                <w:rFonts w:hint="eastAsia"/>
                <w:sz w:val="20"/>
                <w:szCs w:val="20"/>
              </w:rPr>
              <w:br/>
              <w:t xml:space="preserve">配SUS304 不锈钢调节子弹脚</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single" w:color="auto"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3</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1815"/>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34</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双通工作台柜1</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1500*800*800</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台面:采用SUS304 ≥1.5mm不锈钢板            </w:t>
            </w:r>
            <w:r>
              <w:rPr>
                <w:rFonts w:hint="eastAsia"/>
                <w:sz w:val="20"/>
                <w:szCs w:val="20"/>
              </w:rPr>
              <w:br/>
              <w:t xml:space="preserve">侧板：采用SUS304 ≥1.2mm不锈钢板</w:t>
            </w:r>
            <w:r>
              <w:rPr>
                <w:rFonts w:hint="eastAsia"/>
                <w:sz w:val="20"/>
                <w:szCs w:val="20"/>
              </w:rPr>
              <w:br/>
              <w:t xml:space="preserve">层板：采用SUS304 ≥1.2mm不锈钢板            </w:t>
            </w:r>
            <w:r>
              <w:rPr>
                <w:rFonts w:hint="eastAsia"/>
                <w:sz w:val="20"/>
                <w:szCs w:val="20"/>
              </w:rPr>
              <w:br/>
              <w:t xml:space="preserve">移门：采用SUS304 ≥1.2mm双层不锈钢板</w:t>
            </w:r>
            <w:r>
              <w:rPr>
                <w:rFonts w:hint="eastAsia"/>
                <w:sz w:val="20"/>
                <w:szCs w:val="20"/>
              </w:rPr>
              <w:br/>
              <w:t xml:space="preserve">加强筋：采用SUS304 ≥1.2mm不锈钢板</w:t>
            </w:r>
            <w:r>
              <w:rPr>
                <w:rFonts w:hint="eastAsia"/>
                <w:sz w:val="20"/>
                <w:szCs w:val="20"/>
              </w:rPr>
              <w:br/>
              <w:t xml:space="preserve">配SUS304 不锈钢调节子弹脚</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1</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1815"/>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35</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双通工作台柜2</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1800*800*800</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台面:采用SUS304 ≥1.5mm不锈钢板            </w:t>
            </w:r>
            <w:r>
              <w:rPr>
                <w:rFonts w:hint="eastAsia"/>
                <w:sz w:val="20"/>
                <w:szCs w:val="20"/>
              </w:rPr>
              <w:br/>
              <w:t xml:space="preserve">侧板：采用SUS304 ≥1.2mm不锈钢板</w:t>
            </w:r>
            <w:r>
              <w:rPr>
                <w:rFonts w:hint="eastAsia"/>
                <w:sz w:val="20"/>
                <w:szCs w:val="20"/>
              </w:rPr>
              <w:br/>
              <w:t xml:space="preserve">层板：采用SUS304 ≥1.2mm不锈钢板            </w:t>
            </w:r>
            <w:r>
              <w:rPr>
                <w:rFonts w:hint="eastAsia"/>
                <w:sz w:val="20"/>
                <w:szCs w:val="20"/>
              </w:rPr>
              <w:br/>
              <w:t xml:space="preserve">移门：采用SUS304 ≥1.2mm双层不锈钢板</w:t>
            </w:r>
            <w:r>
              <w:rPr>
                <w:rFonts w:hint="eastAsia"/>
                <w:sz w:val="20"/>
                <w:szCs w:val="20"/>
              </w:rPr>
              <w:br/>
              <w:t xml:space="preserve">加强筋：采用SUS304 ≥1.2mm不锈钢板</w:t>
            </w:r>
            <w:r>
              <w:rPr>
                <w:rFonts w:hint="eastAsia"/>
                <w:sz w:val="20"/>
                <w:szCs w:val="20"/>
              </w:rPr>
              <w:br/>
              <w:t xml:space="preserve">配SUS304 不锈钢调节子弹脚</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4</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1815"/>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36</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双孔收餐工作台</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1000*1000*880</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台面:采用SUS304 1.5mm不锈钢板</w:t>
            </w:r>
            <w:r>
              <w:rPr>
                <w:rFonts w:hint="eastAsia"/>
                <w:sz w:val="20"/>
                <w:szCs w:val="20"/>
              </w:rPr>
              <w:br/>
              <w:t xml:space="preserve">加强筋：采用SUS304 1.2mm不锈钢板</w:t>
            </w:r>
            <w:r>
              <w:rPr>
                <w:rFonts w:hint="eastAsia"/>
                <w:sz w:val="20"/>
                <w:szCs w:val="20"/>
              </w:rPr>
              <w:br/>
              <w:t xml:space="preserve">脚架：采用SUS304 </w:t>
            </w:r>
            <w:r>
              <w:rPr>
                <w:rFonts w:ascii="Calibri" w:hAnsi="Calibri" w:cs="Calibri"/>
                <w:sz w:val="20"/>
                <w:szCs w:val="20"/>
              </w:rPr>
              <w:t xml:space="preserve">φ</w:t>
            </w:r>
            <w:r>
              <w:rPr>
                <w:rFonts w:hint="eastAsia"/>
                <w:sz w:val="20"/>
                <w:szCs w:val="20"/>
              </w:rPr>
              <w:t xml:space="preserve">38mm，厚度≥1.5mm不锈钢定形管                     </w:t>
            </w:r>
            <w:r>
              <w:rPr>
                <w:rFonts w:hint="eastAsia"/>
                <w:sz w:val="20"/>
                <w:szCs w:val="20"/>
              </w:rPr>
              <w:br/>
              <w:t xml:space="preserve">横档：采用SUS304 </w:t>
            </w:r>
            <w:r>
              <w:rPr>
                <w:rFonts w:ascii="Calibri" w:hAnsi="Calibri" w:cs="Calibri"/>
                <w:sz w:val="20"/>
                <w:szCs w:val="20"/>
              </w:rPr>
              <w:t xml:space="preserve">ф</w:t>
            </w:r>
            <w:r>
              <w:rPr>
                <w:rFonts w:hint="eastAsia"/>
                <w:sz w:val="20"/>
                <w:szCs w:val="20"/>
              </w:rPr>
              <w:t xml:space="preserve">25mm，厚度≥1.2mm不锈钢定形管</w:t>
            </w:r>
            <w:r>
              <w:rPr>
                <w:rFonts w:hint="eastAsia"/>
                <w:sz w:val="20"/>
                <w:szCs w:val="20"/>
              </w:rPr>
              <w:br/>
              <w:t xml:space="preserve">配不锈钢调节子弹脚</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1</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705"/>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b/>
                <w:bCs/>
                <w:sz w:val="20"/>
                <w:szCs w:val="20"/>
              </w:rPr>
            </w:pPr>
            <w:r>
              <w:rPr>
                <w:rFonts w:hint="eastAsia"/>
                <w:b/>
                <w:bCs/>
                <w:sz w:val="20"/>
                <w:szCs w:val="20"/>
              </w:rPr>
              <w:t xml:space="preserve">三</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b/>
                <w:bCs/>
                <w:sz w:val="20"/>
                <w:szCs w:val="20"/>
              </w:rPr>
            </w:pPr>
            <w:r>
              <w:rPr>
                <w:rFonts w:hint="eastAsia"/>
                <w:b/>
                <w:bCs/>
                <w:sz w:val="20"/>
                <w:szCs w:val="20"/>
              </w:rPr>
              <w:t xml:space="preserve">水池、污碟台</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sz w:val="20"/>
                <w:szCs w:val="20"/>
              </w:rPr>
            </w:pPr>
            <w:r>
              <w:rPr>
                <w:rFonts w:hint="eastAsia"/>
                <w:sz w:val="20"/>
                <w:szCs w:val="20"/>
              </w:rPr>
              <w:t xml:space="preserve">　</w:t>
            </w:r>
            <w:r/>
          </w:p>
        </w:tc>
      </w:tr>
      <w:tr>
        <w:trPr>
          <w:trHeight w:val="501"/>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37</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洗手星</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500*450*250+50</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台面:采用SUS304 ≥1.5mm不锈钢板</w:t>
            </w:r>
            <w:r>
              <w:rPr>
                <w:rFonts w:hint="eastAsia"/>
                <w:sz w:val="20"/>
                <w:szCs w:val="20"/>
              </w:rPr>
              <w:br/>
              <w:t xml:space="preserve">槽身:采用SUS304 ≥1.5mm不锈钢板</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6</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784"/>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38</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双星洗手星</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850*450*250+50</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台面:采用SUS304 ≥1.5mm不锈钢板</w:t>
            </w:r>
            <w:r>
              <w:rPr>
                <w:rFonts w:hint="eastAsia"/>
                <w:sz w:val="20"/>
                <w:szCs w:val="20"/>
              </w:rPr>
              <w:br/>
              <w:t xml:space="preserve">槽身:采用SUS304 ≥1.5mm不锈钢板</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3</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1785"/>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39</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大单星盆水池1</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1200*760*800+100</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台面:采用SUS304 ≥1.5mm不锈钢板</w:t>
            </w:r>
            <w:r>
              <w:rPr>
                <w:rFonts w:hint="eastAsia"/>
                <w:sz w:val="20"/>
                <w:szCs w:val="20"/>
              </w:rPr>
              <w:br/>
              <w:t xml:space="preserve">槽身:采用SUS304 ≥1.5mm不锈钢板</w:t>
            </w:r>
            <w:r>
              <w:rPr>
                <w:rFonts w:hint="eastAsia"/>
                <w:sz w:val="20"/>
                <w:szCs w:val="20"/>
              </w:rPr>
              <w:br/>
              <w:t xml:space="preserve">脚架：采用SUS304 </w:t>
            </w:r>
            <w:r>
              <w:rPr>
                <w:rFonts w:ascii="Calibri" w:hAnsi="Calibri" w:cs="Calibri"/>
                <w:sz w:val="20"/>
                <w:szCs w:val="20"/>
              </w:rPr>
              <w:t xml:space="preserve">φ</w:t>
            </w:r>
            <w:r>
              <w:rPr>
                <w:rFonts w:hint="eastAsia"/>
                <w:sz w:val="20"/>
                <w:szCs w:val="20"/>
              </w:rPr>
              <w:t xml:space="preserve">38mm，厚度≥1.5mm不锈钢定形管                     </w:t>
            </w:r>
            <w:r>
              <w:rPr>
                <w:rFonts w:hint="eastAsia"/>
                <w:sz w:val="20"/>
                <w:szCs w:val="20"/>
              </w:rPr>
              <w:br/>
              <w:t xml:space="preserve">横档：采用SUS304 </w:t>
            </w:r>
            <w:r>
              <w:rPr>
                <w:rFonts w:ascii="Calibri" w:hAnsi="Calibri" w:cs="Calibri"/>
                <w:sz w:val="20"/>
                <w:szCs w:val="20"/>
              </w:rPr>
              <w:t xml:space="preserve">ф</w:t>
            </w:r>
            <w:r>
              <w:rPr>
                <w:rFonts w:hint="eastAsia"/>
                <w:sz w:val="20"/>
                <w:szCs w:val="20"/>
              </w:rPr>
              <w:t xml:space="preserve">25mm，厚度≥1.2mm不锈钢定形管</w:t>
            </w:r>
            <w:r>
              <w:rPr>
                <w:rFonts w:hint="eastAsia"/>
                <w:sz w:val="20"/>
                <w:szCs w:val="20"/>
              </w:rPr>
              <w:br/>
              <w:t xml:space="preserve">配SUS304 不锈钢调节子弹脚</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8</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1785"/>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40</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大单星盆水池2</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1000*1000*880</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台面:采用SUS304 ≥1.5mm不锈钢板</w:t>
            </w:r>
            <w:r>
              <w:rPr>
                <w:rFonts w:hint="eastAsia"/>
                <w:sz w:val="20"/>
                <w:szCs w:val="20"/>
              </w:rPr>
              <w:br/>
              <w:t xml:space="preserve">槽身:采用SUS304 ≥1.5mm不锈钢板</w:t>
            </w:r>
            <w:r>
              <w:rPr>
                <w:rFonts w:hint="eastAsia"/>
                <w:sz w:val="20"/>
                <w:szCs w:val="20"/>
              </w:rPr>
              <w:br/>
              <w:t xml:space="preserve">脚架：采用SUS304 </w:t>
            </w:r>
            <w:r>
              <w:rPr>
                <w:rFonts w:ascii="Calibri" w:hAnsi="Calibri" w:cs="Calibri"/>
                <w:sz w:val="20"/>
                <w:szCs w:val="20"/>
              </w:rPr>
              <w:t xml:space="preserve">φ</w:t>
            </w:r>
            <w:r>
              <w:rPr>
                <w:rFonts w:hint="eastAsia"/>
                <w:sz w:val="20"/>
                <w:szCs w:val="20"/>
              </w:rPr>
              <w:t xml:space="preserve">38mm，厚度≥1.5mm不锈钢定形管                     </w:t>
            </w:r>
            <w:r>
              <w:rPr>
                <w:rFonts w:hint="eastAsia"/>
                <w:sz w:val="20"/>
                <w:szCs w:val="20"/>
              </w:rPr>
              <w:br/>
              <w:t xml:space="preserve">横档：采用SUS304 </w:t>
            </w:r>
            <w:r>
              <w:rPr>
                <w:rFonts w:ascii="Calibri" w:hAnsi="Calibri" w:cs="Calibri"/>
                <w:sz w:val="20"/>
                <w:szCs w:val="20"/>
              </w:rPr>
              <w:t xml:space="preserve">ф</w:t>
            </w:r>
            <w:r>
              <w:rPr>
                <w:rFonts w:hint="eastAsia"/>
                <w:sz w:val="20"/>
                <w:szCs w:val="20"/>
              </w:rPr>
              <w:t xml:space="preserve">25mm，厚度≥1.2mm不锈钢定形管</w:t>
            </w:r>
            <w:r>
              <w:rPr>
                <w:rFonts w:hint="eastAsia"/>
                <w:sz w:val="20"/>
                <w:szCs w:val="20"/>
              </w:rPr>
              <w:br/>
              <w:t xml:space="preserve">配SUS304 不锈钢调节子弹脚</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2</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1785"/>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41</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大单星盆水池3</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1000*760*800+100</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台面:采用SUS304 ≥1.5mm不锈钢板</w:t>
            </w:r>
            <w:r>
              <w:rPr>
                <w:rFonts w:hint="eastAsia"/>
                <w:sz w:val="20"/>
                <w:szCs w:val="20"/>
              </w:rPr>
              <w:br/>
              <w:t xml:space="preserve">槽身:采用SUS304 ≥1.5mm不锈钢板</w:t>
            </w:r>
            <w:r>
              <w:rPr>
                <w:rFonts w:hint="eastAsia"/>
                <w:sz w:val="20"/>
                <w:szCs w:val="20"/>
              </w:rPr>
              <w:br/>
              <w:t xml:space="preserve">脚架：采用SUS304 </w:t>
            </w:r>
            <w:r>
              <w:rPr>
                <w:rFonts w:ascii="Calibri" w:hAnsi="Calibri" w:cs="Calibri"/>
                <w:sz w:val="20"/>
                <w:szCs w:val="20"/>
              </w:rPr>
              <w:t xml:space="preserve">φ</w:t>
            </w:r>
            <w:r>
              <w:rPr>
                <w:rFonts w:hint="eastAsia"/>
                <w:sz w:val="20"/>
                <w:szCs w:val="20"/>
              </w:rPr>
              <w:t xml:space="preserve">38mm，厚度≥1.5mm不锈钢定形管                     </w:t>
            </w:r>
            <w:r>
              <w:rPr>
                <w:rFonts w:hint="eastAsia"/>
                <w:sz w:val="20"/>
                <w:szCs w:val="20"/>
              </w:rPr>
              <w:br/>
              <w:t xml:space="preserve">横档：采用SUS304 </w:t>
            </w:r>
            <w:r>
              <w:rPr>
                <w:rFonts w:ascii="Calibri" w:hAnsi="Calibri" w:cs="Calibri"/>
                <w:sz w:val="20"/>
                <w:szCs w:val="20"/>
              </w:rPr>
              <w:t xml:space="preserve">ф</w:t>
            </w:r>
            <w:r>
              <w:rPr>
                <w:rFonts w:hint="eastAsia"/>
                <w:sz w:val="20"/>
                <w:szCs w:val="20"/>
              </w:rPr>
              <w:t xml:space="preserve">25mm，厚度≥1.2mm不锈钢定形管</w:t>
            </w:r>
            <w:r>
              <w:rPr>
                <w:rFonts w:hint="eastAsia"/>
                <w:sz w:val="20"/>
                <w:szCs w:val="20"/>
              </w:rPr>
              <w:br/>
              <w:t xml:space="preserve">配SUS304 不锈钢调节子弹脚</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8</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1785"/>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42</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大单星盆水池4</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1000*700*800+100</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台面:采用SUS304 ≥1.5mm不锈钢板</w:t>
            </w:r>
            <w:r>
              <w:rPr>
                <w:rFonts w:hint="eastAsia"/>
                <w:sz w:val="20"/>
                <w:szCs w:val="20"/>
              </w:rPr>
              <w:br/>
              <w:t xml:space="preserve">槽身:采用SUS304 ≥1.5mm不锈钢板</w:t>
            </w:r>
            <w:r>
              <w:rPr>
                <w:rFonts w:hint="eastAsia"/>
                <w:sz w:val="20"/>
                <w:szCs w:val="20"/>
              </w:rPr>
              <w:br/>
              <w:t xml:space="preserve">脚架：采用SUS304 </w:t>
            </w:r>
            <w:r>
              <w:rPr>
                <w:rFonts w:ascii="Calibri" w:hAnsi="Calibri" w:cs="Calibri"/>
                <w:sz w:val="20"/>
                <w:szCs w:val="20"/>
              </w:rPr>
              <w:t xml:space="preserve">φ</w:t>
            </w:r>
            <w:r>
              <w:rPr>
                <w:rFonts w:hint="eastAsia"/>
                <w:sz w:val="20"/>
                <w:szCs w:val="20"/>
              </w:rPr>
              <w:t xml:space="preserve">38mm，厚度≥1.5mm不锈钢定形管                     </w:t>
            </w:r>
            <w:r>
              <w:rPr>
                <w:rFonts w:hint="eastAsia"/>
                <w:sz w:val="20"/>
                <w:szCs w:val="20"/>
              </w:rPr>
              <w:br/>
              <w:t xml:space="preserve">横档：采用SUS304 </w:t>
            </w:r>
            <w:r>
              <w:rPr>
                <w:rFonts w:ascii="Calibri" w:hAnsi="Calibri" w:cs="Calibri"/>
                <w:sz w:val="20"/>
                <w:szCs w:val="20"/>
              </w:rPr>
              <w:t xml:space="preserve">ф</w:t>
            </w:r>
            <w:r>
              <w:rPr>
                <w:rFonts w:hint="eastAsia"/>
                <w:sz w:val="20"/>
                <w:szCs w:val="20"/>
              </w:rPr>
              <w:t xml:space="preserve">25mm，厚度≥1.2mm不锈钢定形管</w:t>
            </w:r>
            <w:r>
              <w:rPr>
                <w:rFonts w:hint="eastAsia"/>
                <w:sz w:val="20"/>
                <w:szCs w:val="20"/>
              </w:rPr>
              <w:br/>
              <w:t xml:space="preserve">配SUS304 不锈钢调节子弹脚</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8</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1785"/>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43</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单星盆水池</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1800*760*800+100</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台面:采用SUS304 ≥1.5mm不锈钢板</w:t>
            </w:r>
            <w:r>
              <w:rPr>
                <w:rFonts w:hint="eastAsia"/>
                <w:sz w:val="20"/>
                <w:szCs w:val="20"/>
              </w:rPr>
              <w:br/>
              <w:t xml:space="preserve">槽身:采用SUS304 ≥1.5mm不锈钢板</w:t>
            </w:r>
            <w:r>
              <w:rPr>
                <w:rFonts w:hint="eastAsia"/>
                <w:sz w:val="20"/>
                <w:szCs w:val="20"/>
              </w:rPr>
              <w:br/>
              <w:t xml:space="preserve">脚架：采用SUS304 </w:t>
            </w:r>
            <w:r>
              <w:rPr>
                <w:rFonts w:ascii="Calibri" w:hAnsi="Calibri" w:cs="Calibri"/>
                <w:sz w:val="20"/>
                <w:szCs w:val="20"/>
              </w:rPr>
              <w:t xml:space="preserve">φ</w:t>
            </w:r>
            <w:r>
              <w:rPr>
                <w:rFonts w:hint="eastAsia"/>
                <w:sz w:val="20"/>
                <w:szCs w:val="20"/>
              </w:rPr>
              <w:t xml:space="preserve">38mm，厚度≥1.5mm不锈钢定形管                     </w:t>
            </w:r>
            <w:r>
              <w:rPr>
                <w:rFonts w:hint="eastAsia"/>
                <w:sz w:val="20"/>
                <w:szCs w:val="20"/>
              </w:rPr>
              <w:br/>
              <w:t xml:space="preserve">横档：采用SUS304 </w:t>
            </w:r>
            <w:r>
              <w:rPr>
                <w:rFonts w:ascii="Calibri" w:hAnsi="Calibri" w:cs="Calibri"/>
                <w:sz w:val="20"/>
                <w:szCs w:val="20"/>
              </w:rPr>
              <w:t xml:space="preserve">ф</w:t>
            </w:r>
            <w:r>
              <w:rPr>
                <w:rFonts w:hint="eastAsia"/>
                <w:sz w:val="20"/>
                <w:szCs w:val="20"/>
              </w:rPr>
              <w:t xml:space="preserve">25mm，厚度≥1.2mm不锈钢定形管</w:t>
            </w:r>
            <w:r>
              <w:rPr>
                <w:rFonts w:hint="eastAsia"/>
                <w:sz w:val="20"/>
                <w:szCs w:val="20"/>
              </w:rPr>
              <w:br/>
              <w:t xml:space="preserve">配SUS304 不锈钢调节子弹脚</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4</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2025"/>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44</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单星盆水池柜1</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1200*760*800+100</w:t>
            </w:r>
            <w:r/>
          </w:p>
        </w:tc>
        <w:tc>
          <w:tcPr>
            <w:tcBorders>
              <w:top w:val="none" w:color="000000" w:sz="4" w:space="0"/>
              <w:left w:val="none" w:color="000000" w:sz="4" w:space="0"/>
              <w:bottom w:val="single" w:color="auto" w:sz="4" w:space="0"/>
              <w:right w:val="single" w:color="auto" w:sz="4" w:space="0"/>
            </w:tcBorders>
            <w:tcW w:w="4612" w:type="dxa"/>
            <w:textDirection w:val="lrTb"/>
            <w:noWrap w:val="false"/>
          </w:tcPr>
          <w:p>
            <w:pPr>
              <w:rPr>
                <w:rFonts w:hint="eastAsia"/>
                <w:sz w:val="20"/>
                <w:szCs w:val="20"/>
              </w:rPr>
            </w:pPr>
            <w:r>
              <w:rPr>
                <w:rFonts w:hint="eastAsia"/>
                <w:sz w:val="20"/>
                <w:szCs w:val="20"/>
              </w:rPr>
              <w:t xml:space="preserve">台面:采用SUS304 ≥1.5mm不锈钢板              </w:t>
            </w:r>
            <w:r>
              <w:rPr>
                <w:rFonts w:hint="eastAsia"/>
                <w:sz w:val="20"/>
                <w:szCs w:val="20"/>
              </w:rPr>
              <w:br/>
              <w:t xml:space="preserve">侧板：采用SUS304 ≥1.2mm不锈钢板</w:t>
            </w:r>
            <w:r>
              <w:rPr>
                <w:rFonts w:hint="eastAsia"/>
                <w:sz w:val="20"/>
                <w:szCs w:val="20"/>
              </w:rPr>
              <w:br/>
              <w:t xml:space="preserve">层板：采用SUS304 ≥1.2mm不锈钢板             </w:t>
            </w:r>
            <w:r>
              <w:rPr>
                <w:rFonts w:hint="eastAsia"/>
                <w:sz w:val="20"/>
                <w:szCs w:val="20"/>
              </w:rPr>
              <w:br/>
              <w:t xml:space="preserve">门：采用SUS304 ≥1.2mm双层不锈钢板</w:t>
            </w:r>
            <w:r>
              <w:rPr>
                <w:rFonts w:hint="eastAsia"/>
                <w:sz w:val="20"/>
                <w:szCs w:val="20"/>
              </w:rPr>
              <w:br/>
              <w:t xml:space="preserve">配吊轮</w:t>
            </w:r>
            <w:r>
              <w:rPr>
                <w:rFonts w:hint="eastAsia"/>
                <w:sz w:val="20"/>
                <w:szCs w:val="20"/>
              </w:rPr>
              <w:br/>
              <w:t xml:space="preserve">加强筋：采用SUS304 ≥1.2mm不锈钢板</w:t>
            </w:r>
            <w:r>
              <w:rPr>
                <w:rFonts w:hint="eastAsia"/>
                <w:sz w:val="20"/>
                <w:szCs w:val="20"/>
              </w:rPr>
              <w:br/>
              <w:t xml:space="preserve">SUS304不锈钢可调重型脚</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4</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1876"/>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45</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单星盆水池柜2</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700*760*800+100</w:t>
            </w:r>
            <w:r/>
          </w:p>
        </w:tc>
        <w:tc>
          <w:tcPr>
            <w:tcBorders>
              <w:top w:val="none" w:color="000000" w:sz="4" w:space="0"/>
              <w:left w:val="none" w:color="000000" w:sz="4" w:space="0"/>
              <w:bottom w:val="single" w:color="auto" w:sz="4" w:space="0"/>
              <w:right w:val="single" w:color="auto" w:sz="4" w:space="0"/>
            </w:tcBorders>
            <w:tcW w:w="4612" w:type="dxa"/>
            <w:textDirection w:val="lrTb"/>
            <w:noWrap w:val="false"/>
          </w:tcPr>
          <w:p>
            <w:pPr>
              <w:rPr>
                <w:rFonts w:hint="eastAsia"/>
                <w:sz w:val="20"/>
                <w:szCs w:val="20"/>
              </w:rPr>
            </w:pPr>
            <w:r>
              <w:rPr>
                <w:rFonts w:hint="eastAsia"/>
                <w:sz w:val="20"/>
                <w:szCs w:val="20"/>
              </w:rPr>
              <w:t xml:space="preserve">台面:采用SUS304 ≥1.5mm不锈钢板              </w:t>
            </w:r>
            <w:r>
              <w:rPr>
                <w:rFonts w:hint="eastAsia"/>
                <w:sz w:val="20"/>
                <w:szCs w:val="20"/>
              </w:rPr>
              <w:br/>
              <w:t xml:space="preserve">侧板：采用SUS304 ≥1.2mm不锈钢板</w:t>
            </w:r>
            <w:r>
              <w:rPr>
                <w:rFonts w:hint="eastAsia"/>
                <w:sz w:val="20"/>
                <w:szCs w:val="20"/>
              </w:rPr>
              <w:br/>
              <w:t xml:space="preserve">层板：采用SUS304 ≥1.2mm不锈钢板             </w:t>
            </w:r>
            <w:r>
              <w:rPr>
                <w:rFonts w:hint="eastAsia"/>
                <w:sz w:val="20"/>
                <w:szCs w:val="20"/>
              </w:rPr>
              <w:br/>
              <w:t xml:space="preserve">门：采用SUS304 ≥1.2mm双层不锈钢板</w:t>
            </w:r>
            <w:r>
              <w:rPr>
                <w:rFonts w:hint="eastAsia"/>
                <w:sz w:val="20"/>
                <w:szCs w:val="20"/>
              </w:rPr>
              <w:br/>
              <w:t xml:space="preserve">配吊轮</w:t>
            </w:r>
            <w:r>
              <w:rPr>
                <w:rFonts w:hint="eastAsia"/>
                <w:sz w:val="20"/>
                <w:szCs w:val="20"/>
              </w:rPr>
              <w:br/>
              <w:t xml:space="preserve">加强筋：采用SUS304 ≥1.2mm不锈钢板</w:t>
            </w:r>
            <w:r>
              <w:rPr>
                <w:rFonts w:hint="eastAsia"/>
                <w:sz w:val="20"/>
                <w:szCs w:val="20"/>
              </w:rPr>
              <w:br/>
              <w:t xml:space="preserve">SUS304不锈钢可调重型脚</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4</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1785"/>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46</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双星盆水池1</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1200*760*800+100</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台面:采用SUS304 ≥1.5mm不锈钢板</w:t>
            </w:r>
            <w:r>
              <w:rPr>
                <w:rFonts w:hint="eastAsia"/>
                <w:sz w:val="20"/>
                <w:szCs w:val="20"/>
              </w:rPr>
              <w:br/>
              <w:t xml:space="preserve">槽身:采用SUS304 ≥1.5mm不锈钢板</w:t>
            </w:r>
            <w:r>
              <w:rPr>
                <w:rFonts w:hint="eastAsia"/>
                <w:sz w:val="20"/>
                <w:szCs w:val="20"/>
              </w:rPr>
              <w:br/>
              <w:t xml:space="preserve">脚架：采用SUS304 </w:t>
            </w:r>
            <w:r>
              <w:rPr>
                <w:rFonts w:ascii="Calibri" w:hAnsi="Calibri" w:cs="Calibri"/>
                <w:sz w:val="20"/>
                <w:szCs w:val="20"/>
              </w:rPr>
              <w:t xml:space="preserve">φ</w:t>
            </w:r>
            <w:r>
              <w:rPr>
                <w:rFonts w:hint="eastAsia"/>
                <w:sz w:val="20"/>
                <w:szCs w:val="20"/>
              </w:rPr>
              <w:t xml:space="preserve">38mm，厚度≥1.5mm不锈钢定形管                     </w:t>
            </w:r>
            <w:r>
              <w:rPr>
                <w:rFonts w:hint="eastAsia"/>
                <w:sz w:val="20"/>
                <w:szCs w:val="20"/>
              </w:rPr>
              <w:br/>
              <w:t xml:space="preserve">横档：采用SUS304 </w:t>
            </w:r>
            <w:r>
              <w:rPr>
                <w:rFonts w:ascii="Calibri" w:hAnsi="Calibri" w:cs="Calibri"/>
                <w:sz w:val="20"/>
                <w:szCs w:val="20"/>
              </w:rPr>
              <w:t xml:space="preserve">ф</w:t>
            </w:r>
            <w:r>
              <w:rPr>
                <w:rFonts w:hint="eastAsia"/>
                <w:sz w:val="20"/>
                <w:szCs w:val="20"/>
              </w:rPr>
              <w:t xml:space="preserve">25mm，厚度≥1.2mm不锈钢定形管</w:t>
            </w:r>
            <w:r>
              <w:rPr>
                <w:rFonts w:hint="eastAsia"/>
                <w:sz w:val="20"/>
                <w:szCs w:val="20"/>
              </w:rPr>
              <w:br/>
              <w:t xml:space="preserve">配SUS304 不锈钢调节子弹脚</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5</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1785"/>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47</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双星盆水池2</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1800*760*800+100</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台面:采用SUS304 ≥1.5mm不锈钢板</w:t>
            </w:r>
            <w:r>
              <w:rPr>
                <w:rFonts w:hint="eastAsia"/>
                <w:sz w:val="20"/>
                <w:szCs w:val="20"/>
              </w:rPr>
              <w:br/>
              <w:t xml:space="preserve">槽身:采用SUS304 ≥1.5mm不锈钢板</w:t>
            </w:r>
            <w:r>
              <w:rPr>
                <w:rFonts w:hint="eastAsia"/>
                <w:sz w:val="20"/>
                <w:szCs w:val="20"/>
              </w:rPr>
              <w:br/>
              <w:t xml:space="preserve">脚架：采用SUS304 </w:t>
            </w:r>
            <w:r>
              <w:rPr>
                <w:rFonts w:ascii="Calibri" w:hAnsi="Calibri" w:cs="Calibri"/>
                <w:sz w:val="20"/>
                <w:szCs w:val="20"/>
              </w:rPr>
              <w:t xml:space="preserve">φ</w:t>
            </w:r>
            <w:r>
              <w:rPr>
                <w:rFonts w:hint="eastAsia"/>
                <w:sz w:val="20"/>
                <w:szCs w:val="20"/>
              </w:rPr>
              <w:t xml:space="preserve">38mm，厚度≥1.5mm不锈钢定形管                     </w:t>
            </w:r>
            <w:r>
              <w:rPr>
                <w:rFonts w:hint="eastAsia"/>
                <w:sz w:val="20"/>
                <w:szCs w:val="20"/>
              </w:rPr>
              <w:br/>
              <w:t xml:space="preserve">横档：采用SUS304 </w:t>
            </w:r>
            <w:r>
              <w:rPr>
                <w:rFonts w:ascii="Calibri" w:hAnsi="Calibri" w:cs="Calibri"/>
                <w:sz w:val="20"/>
                <w:szCs w:val="20"/>
              </w:rPr>
              <w:t xml:space="preserve">ф</w:t>
            </w:r>
            <w:r>
              <w:rPr>
                <w:rFonts w:hint="eastAsia"/>
                <w:sz w:val="20"/>
                <w:szCs w:val="20"/>
              </w:rPr>
              <w:t xml:space="preserve">25mm，厚度≥1.2mm不锈钢定形管</w:t>
            </w:r>
            <w:r>
              <w:rPr>
                <w:rFonts w:hint="eastAsia"/>
                <w:sz w:val="20"/>
                <w:szCs w:val="20"/>
              </w:rPr>
              <w:br/>
              <w:t xml:space="preserve">配SUS304 不锈钢调节子弹脚</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1</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1785"/>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48</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双星盆水池3</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1800*700*800+100</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台面:采用SUS304 ≥1.5mm不锈钢板</w:t>
            </w:r>
            <w:r>
              <w:rPr>
                <w:rFonts w:hint="eastAsia"/>
                <w:sz w:val="20"/>
                <w:szCs w:val="20"/>
              </w:rPr>
              <w:br/>
              <w:t xml:space="preserve">槽身:采用SUS304 ≥1.5mm不锈钢板</w:t>
            </w:r>
            <w:r>
              <w:rPr>
                <w:rFonts w:hint="eastAsia"/>
                <w:sz w:val="20"/>
                <w:szCs w:val="20"/>
              </w:rPr>
              <w:br/>
              <w:t xml:space="preserve">脚架：采用SUS304 </w:t>
            </w:r>
            <w:r>
              <w:rPr>
                <w:rFonts w:ascii="Calibri" w:hAnsi="Calibri" w:cs="Calibri"/>
                <w:sz w:val="20"/>
                <w:szCs w:val="20"/>
              </w:rPr>
              <w:t xml:space="preserve">φ</w:t>
            </w:r>
            <w:r>
              <w:rPr>
                <w:rFonts w:hint="eastAsia"/>
                <w:sz w:val="20"/>
                <w:szCs w:val="20"/>
              </w:rPr>
              <w:t xml:space="preserve">38mm，厚度≥1.5mm不锈钢定形管                     </w:t>
            </w:r>
            <w:r>
              <w:rPr>
                <w:rFonts w:hint="eastAsia"/>
                <w:sz w:val="20"/>
                <w:szCs w:val="20"/>
              </w:rPr>
              <w:br/>
              <w:t xml:space="preserve">横档：采用SUS304 </w:t>
            </w:r>
            <w:r>
              <w:rPr>
                <w:rFonts w:ascii="Calibri" w:hAnsi="Calibri" w:cs="Calibri"/>
                <w:sz w:val="20"/>
                <w:szCs w:val="20"/>
              </w:rPr>
              <w:t xml:space="preserve">ф</w:t>
            </w:r>
            <w:r>
              <w:rPr>
                <w:rFonts w:hint="eastAsia"/>
                <w:sz w:val="20"/>
                <w:szCs w:val="20"/>
              </w:rPr>
              <w:t xml:space="preserve">25mm，厚度≥1.2mm不锈钢定形管</w:t>
            </w:r>
            <w:r>
              <w:rPr>
                <w:rFonts w:hint="eastAsia"/>
                <w:sz w:val="20"/>
                <w:szCs w:val="20"/>
              </w:rPr>
              <w:br/>
              <w:t xml:space="preserve">配SUS304 不锈钢调节子弹脚</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1</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1785"/>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49</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双星盆水池4</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1500*700*800+100</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台面:采用SUS304 ≥1.5mm不锈钢板</w:t>
            </w:r>
            <w:r>
              <w:rPr>
                <w:rFonts w:hint="eastAsia"/>
                <w:sz w:val="20"/>
                <w:szCs w:val="20"/>
              </w:rPr>
              <w:br/>
              <w:t xml:space="preserve">槽身:采用SUS304 ≥1.5mm不锈钢板</w:t>
            </w:r>
            <w:r>
              <w:rPr>
                <w:rFonts w:hint="eastAsia"/>
                <w:sz w:val="20"/>
                <w:szCs w:val="20"/>
              </w:rPr>
              <w:br/>
              <w:t xml:space="preserve">脚架：采用SUS304 </w:t>
            </w:r>
            <w:r>
              <w:rPr>
                <w:rFonts w:ascii="Calibri" w:hAnsi="Calibri" w:cs="Calibri"/>
                <w:sz w:val="20"/>
                <w:szCs w:val="20"/>
              </w:rPr>
              <w:t xml:space="preserve">φ</w:t>
            </w:r>
            <w:r>
              <w:rPr>
                <w:rFonts w:hint="eastAsia"/>
                <w:sz w:val="20"/>
                <w:szCs w:val="20"/>
              </w:rPr>
              <w:t xml:space="preserve">38mm，厚度≥1.5mm不锈钢定形管                     </w:t>
            </w:r>
            <w:r>
              <w:rPr>
                <w:rFonts w:hint="eastAsia"/>
                <w:sz w:val="20"/>
                <w:szCs w:val="20"/>
              </w:rPr>
              <w:br/>
              <w:t xml:space="preserve">横档：采用SUS304 </w:t>
            </w:r>
            <w:r>
              <w:rPr>
                <w:rFonts w:ascii="Calibri" w:hAnsi="Calibri" w:cs="Calibri"/>
                <w:sz w:val="20"/>
                <w:szCs w:val="20"/>
              </w:rPr>
              <w:t xml:space="preserve">ф</w:t>
            </w:r>
            <w:r>
              <w:rPr>
                <w:rFonts w:hint="eastAsia"/>
                <w:sz w:val="20"/>
                <w:szCs w:val="20"/>
              </w:rPr>
              <w:t xml:space="preserve">25mm，厚度≥1.2mm不锈钢定形管</w:t>
            </w:r>
            <w:r>
              <w:rPr>
                <w:rFonts w:hint="eastAsia"/>
                <w:sz w:val="20"/>
                <w:szCs w:val="20"/>
              </w:rPr>
              <w:br/>
              <w:t xml:space="preserve">配SUS304 不锈钢调节子弹脚</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8</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1785"/>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50</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双星水池柜</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1200*760*800+100</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台面:采用SUS304 1.5mm不锈钢板              </w:t>
            </w:r>
            <w:r>
              <w:rPr>
                <w:rFonts w:hint="eastAsia"/>
                <w:sz w:val="20"/>
                <w:szCs w:val="20"/>
              </w:rPr>
              <w:br/>
              <w:t xml:space="preserve">侧板：采用SUS304 1.0mm不锈钢板</w:t>
            </w:r>
            <w:r>
              <w:rPr>
                <w:rFonts w:hint="eastAsia"/>
                <w:sz w:val="20"/>
                <w:szCs w:val="20"/>
              </w:rPr>
              <w:br/>
              <w:t xml:space="preserve">层板：采用SUS304 1.2mm不锈钢板             </w:t>
            </w:r>
            <w:r>
              <w:rPr>
                <w:rFonts w:hint="eastAsia"/>
                <w:sz w:val="20"/>
                <w:szCs w:val="20"/>
              </w:rPr>
              <w:br/>
              <w:t xml:space="preserve">移门：采用SUS304 1.0mm双层不锈钢板</w:t>
            </w:r>
            <w:r>
              <w:rPr>
                <w:rFonts w:hint="eastAsia"/>
                <w:sz w:val="20"/>
                <w:szCs w:val="20"/>
              </w:rPr>
              <w:br/>
              <w:t xml:space="preserve">配吊轮</w:t>
            </w:r>
            <w:r>
              <w:rPr>
                <w:rFonts w:hint="eastAsia"/>
                <w:sz w:val="20"/>
                <w:szCs w:val="20"/>
              </w:rPr>
              <w:br/>
              <w:t xml:space="preserve">加强筋：采用1.2mm不锈钢板</w:t>
            </w:r>
            <w:r>
              <w:rPr>
                <w:rFonts w:hint="eastAsia"/>
                <w:sz w:val="20"/>
                <w:szCs w:val="20"/>
              </w:rPr>
              <w:br/>
              <w:t xml:space="preserve">不锈钢可调重型脚</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2</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1785"/>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51</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单孔污碟台1</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1350*760*800+100</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台面:采用SUS304 ≥1.5mm不锈钢板</w:t>
            </w:r>
            <w:r>
              <w:rPr>
                <w:rFonts w:hint="eastAsia"/>
                <w:sz w:val="20"/>
                <w:szCs w:val="20"/>
              </w:rPr>
              <w:br/>
              <w:t xml:space="preserve">槽身:采用SUS304 ≥1.5mm不锈钢板</w:t>
            </w:r>
            <w:r>
              <w:rPr>
                <w:rFonts w:hint="eastAsia"/>
                <w:sz w:val="20"/>
                <w:szCs w:val="20"/>
              </w:rPr>
              <w:br/>
              <w:t xml:space="preserve">脚架：采用SUS304 </w:t>
            </w:r>
            <w:r>
              <w:rPr>
                <w:rFonts w:ascii="Calibri" w:hAnsi="Calibri" w:cs="Calibri"/>
                <w:sz w:val="20"/>
                <w:szCs w:val="20"/>
              </w:rPr>
              <w:t xml:space="preserve">φ</w:t>
            </w:r>
            <w:r>
              <w:rPr>
                <w:rFonts w:hint="eastAsia"/>
                <w:sz w:val="20"/>
                <w:szCs w:val="20"/>
              </w:rPr>
              <w:t xml:space="preserve">38mm，厚度≥1.5mm不锈钢定形管                     </w:t>
            </w:r>
            <w:r>
              <w:rPr>
                <w:rFonts w:hint="eastAsia"/>
                <w:sz w:val="20"/>
                <w:szCs w:val="20"/>
              </w:rPr>
              <w:br/>
              <w:t xml:space="preserve">横档：采用SUS304 </w:t>
            </w:r>
            <w:r>
              <w:rPr>
                <w:rFonts w:ascii="Calibri" w:hAnsi="Calibri" w:cs="Calibri"/>
                <w:sz w:val="20"/>
                <w:szCs w:val="20"/>
              </w:rPr>
              <w:t xml:space="preserve">ф</w:t>
            </w:r>
            <w:r>
              <w:rPr>
                <w:rFonts w:hint="eastAsia"/>
                <w:sz w:val="20"/>
                <w:szCs w:val="20"/>
              </w:rPr>
              <w:t xml:space="preserve">25mm，厚度≥1.2mm不锈钢定形管</w:t>
            </w:r>
            <w:r>
              <w:rPr>
                <w:rFonts w:hint="eastAsia"/>
                <w:sz w:val="20"/>
                <w:szCs w:val="20"/>
              </w:rPr>
              <w:br/>
              <w:t xml:space="preserve">配SUS304 不锈钢调节子弹脚</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1</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1785"/>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52</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单孔污碟台2</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1400*760*800+100</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台面:采用SUS304 ≥1.5mm不锈钢板</w:t>
            </w:r>
            <w:r>
              <w:rPr>
                <w:rFonts w:hint="eastAsia"/>
                <w:sz w:val="20"/>
                <w:szCs w:val="20"/>
              </w:rPr>
              <w:br/>
              <w:t xml:space="preserve">槽身:采用SUS304 ≥1.5mm不锈钢板</w:t>
            </w:r>
            <w:r>
              <w:rPr>
                <w:rFonts w:hint="eastAsia"/>
                <w:sz w:val="20"/>
                <w:szCs w:val="20"/>
              </w:rPr>
              <w:br/>
              <w:t xml:space="preserve">脚架：采用SUS304 </w:t>
            </w:r>
            <w:r>
              <w:rPr>
                <w:rFonts w:ascii="Calibri" w:hAnsi="Calibri" w:cs="Calibri"/>
                <w:sz w:val="20"/>
                <w:szCs w:val="20"/>
              </w:rPr>
              <w:t xml:space="preserve">φ</w:t>
            </w:r>
            <w:r>
              <w:rPr>
                <w:rFonts w:hint="eastAsia"/>
                <w:sz w:val="20"/>
                <w:szCs w:val="20"/>
              </w:rPr>
              <w:t xml:space="preserve">38mm，厚度≥1.5mm不锈钢定形管                     </w:t>
            </w:r>
            <w:r>
              <w:rPr>
                <w:rFonts w:hint="eastAsia"/>
                <w:sz w:val="20"/>
                <w:szCs w:val="20"/>
              </w:rPr>
              <w:br/>
              <w:t xml:space="preserve">横档：采用SUS304 </w:t>
            </w:r>
            <w:r>
              <w:rPr>
                <w:rFonts w:ascii="Calibri" w:hAnsi="Calibri" w:cs="Calibri"/>
                <w:sz w:val="20"/>
                <w:szCs w:val="20"/>
              </w:rPr>
              <w:t xml:space="preserve">ф</w:t>
            </w:r>
            <w:r>
              <w:rPr>
                <w:rFonts w:hint="eastAsia"/>
                <w:sz w:val="20"/>
                <w:szCs w:val="20"/>
              </w:rPr>
              <w:t xml:space="preserve">25mm，厚度≥1.2mm不锈钢定形管</w:t>
            </w:r>
            <w:r>
              <w:rPr>
                <w:rFonts w:hint="eastAsia"/>
                <w:sz w:val="20"/>
                <w:szCs w:val="20"/>
              </w:rPr>
              <w:br/>
              <w:t xml:space="preserve">配SUS304 不锈钢调节子弹脚</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1</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1785"/>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53</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单孔污碟台柜</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1200*760*800</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台面:采用SUS304 ≥1.5mm不锈钢板</w:t>
            </w:r>
            <w:r>
              <w:rPr>
                <w:rFonts w:hint="eastAsia"/>
                <w:sz w:val="20"/>
                <w:szCs w:val="20"/>
              </w:rPr>
              <w:br/>
              <w:t xml:space="preserve">槽身:采用SUS304 ≥1.5mm不锈钢板</w:t>
            </w:r>
            <w:r>
              <w:rPr>
                <w:rFonts w:hint="eastAsia"/>
                <w:sz w:val="20"/>
                <w:szCs w:val="20"/>
              </w:rPr>
              <w:br/>
              <w:t xml:space="preserve">脚架：采用SUS304 </w:t>
            </w:r>
            <w:r>
              <w:rPr>
                <w:rFonts w:ascii="Calibri" w:hAnsi="Calibri" w:cs="Calibri"/>
                <w:sz w:val="20"/>
                <w:szCs w:val="20"/>
              </w:rPr>
              <w:t xml:space="preserve">φ</w:t>
            </w:r>
            <w:r>
              <w:rPr>
                <w:rFonts w:hint="eastAsia"/>
                <w:sz w:val="20"/>
                <w:szCs w:val="20"/>
              </w:rPr>
              <w:t xml:space="preserve">38mm，厚度≥1.5mm不锈钢定形管                     </w:t>
            </w:r>
            <w:r>
              <w:rPr>
                <w:rFonts w:hint="eastAsia"/>
                <w:sz w:val="20"/>
                <w:szCs w:val="20"/>
              </w:rPr>
              <w:br/>
              <w:t xml:space="preserve">横档：采用SUS304 </w:t>
            </w:r>
            <w:r>
              <w:rPr>
                <w:rFonts w:ascii="Calibri" w:hAnsi="Calibri" w:cs="Calibri"/>
                <w:sz w:val="20"/>
                <w:szCs w:val="20"/>
              </w:rPr>
              <w:t xml:space="preserve">ф</w:t>
            </w:r>
            <w:r>
              <w:rPr>
                <w:rFonts w:hint="eastAsia"/>
                <w:sz w:val="20"/>
                <w:szCs w:val="20"/>
              </w:rPr>
              <w:t xml:space="preserve">25mm，厚度≥1.2mm不锈钢定形管</w:t>
            </w:r>
            <w:r>
              <w:rPr>
                <w:rFonts w:hint="eastAsia"/>
                <w:sz w:val="20"/>
                <w:szCs w:val="20"/>
              </w:rPr>
              <w:br/>
              <w:t xml:space="preserve">配SUS304 不锈钢调节子弹脚</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4</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1785"/>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54</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双孔污碟台</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1000*1000*880</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台面:采用SUS304 ≥1.5mm不锈钢板</w:t>
            </w:r>
            <w:r>
              <w:rPr>
                <w:rFonts w:hint="eastAsia"/>
                <w:sz w:val="20"/>
                <w:szCs w:val="20"/>
              </w:rPr>
              <w:br/>
              <w:t xml:space="preserve">槽身:采用SUS304 ≥1.5mm不锈钢板</w:t>
            </w:r>
            <w:r>
              <w:rPr>
                <w:rFonts w:hint="eastAsia"/>
                <w:sz w:val="20"/>
                <w:szCs w:val="20"/>
              </w:rPr>
              <w:br/>
              <w:t xml:space="preserve">脚架：采用SUS304 </w:t>
            </w:r>
            <w:r>
              <w:rPr>
                <w:rFonts w:ascii="Calibri" w:hAnsi="Calibri" w:cs="Calibri"/>
                <w:sz w:val="20"/>
                <w:szCs w:val="20"/>
              </w:rPr>
              <w:t xml:space="preserve">φ</w:t>
            </w:r>
            <w:r>
              <w:rPr>
                <w:rFonts w:hint="eastAsia"/>
                <w:sz w:val="20"/>
                <w:szCs w:val="20"/>
              </w:rPr>
              <w:t xml:space="preserve">38mm，厚度≥1.5mm不锈钢定形管                     </w:t>
            </w:r>
            <w:r>
              <w:rPr>
                <w:rFonts w:hint="eastAsia"/>
                <w:sz w:val="20"/>
                <w:szCs w:val="20"/>
              </w:rPr>
              <w:br/>
              <w:t xml:space="preserve">横档：采用SUS304 </w:t>
            </w:r>
            <w:r>
              <w:rPr>
                <w:rFonts w:ascii="Calibri" w:hAnsi="Calibri" w:cs="Calibri"/>
                <w:sz w:val="20"/>
                <w:szCs w:val="20"/>
              </w:rPr>
              <w:t xml:space="preserve">ф</w:t>
            </w:r>
            <w:r>
              <w:rPr>
                <w:rFonts w:hint="eastAsia"/>
                <w:sz w:val="20"/>
                <w:szCs w:val="20"/>
              </w:rPr>
              <w:t xml:space="preserve">25mm，厚度≥1.2mm不锈钢定形管</w:t>
            </w:r>
            <w:r>
              <w:rPr>
                <w:rFonts w:hint="eastAsia"/>
                <w:sz w:val="20"/>
                <w:szCs w:val="20"/>
              </w:rPr>
              <w:br/>
              <w:t xml:space="preserve">配SUS304 不锈钢调节子弹脚</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1</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1785"/>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55</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单星杀鱼台</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1800*760*800+100</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台面:采用SUS304 ≥1.5mm不锈钢板</w:t>
            </w:r>
            <w:r>
              <w:rPr>
                <w:rFonts w:hint="eastAsia"/>
                <w:sz w:val="20"/>
                <w:szCs w:val="20"/>
              </w:rPr>
              <w:br/>
              <w:t xml:space="preserve">槽身:采用SUS304 ≥1.5mm不锈钢板</w:t>
            </w:r>
            <w:r>
              <w:rPr>
                <w:rFonts w:hint="eastAsia"/>
                <w:sz w:val="20"/>
                <w:szCs w:val="20"/>
              </w:rPr>
              <w:br/>
              <w:t xml:space="preserve">脚架：采用SUS304 </w:t>
            </w:r>
            <w:r>
              <w:rPr>
                <w:rFonts w:ascii="Calibri" w:hAnsi="Calibri" w:cs="Calibri"/>
                <w:sz w:val="20"/>
                <w:szCs w:val="20"/>
              </w:rPr>
              <w:t xml:space="preserve">φ</w:t>
            </w:r>
            <w:r>
              <w:rPr>
                <w:rFonts w:hint="eastAsia"/>
                <w:sz w:val="20"/>
                <w:szCs w:val="20"/>
              </w:rPr>
              <w:t xml:space="preserve">38mm，厚度≥1.5mm不锈钢定形管                     </w:t>
            </w:r>
            <w:r>
              <w:rPr>
                <w:rFonts w:hint="eastAsia"/>
                <w:sz w:val="20"/>
                <w:szCs w:val="20"/>
              </w:rPr>
              <w:br/>
              <w:t xml:space="preserve">横档：采用SUS304 </w:t>
            </w:r>
            <w:r>
              <w:rPr>
                <w:rFonts w:ascii="Calibri" w:hAnsi="Calibri" w:cs="Calibri"/>
                <w:sz w:val="20"/>
                <w:szCs w:val="20"/>
              </w:rPr>
              <w:t xml:space="preserve">ф</w:t>
            </w:r>
            <w:r>
              <w:rPr>
                <w:rFonts w:hint="eastAsia"/>
                <w:sz w:val="20"/>
                <w:szCs w:val="20"/>
              </w:rPr>
              <w:t xml:space="preserve">25mm，厚度≥1.2mm不锈钢定形管</w:t>
            </w:r>
            <w:r>
              <w:rPr>
                <w:rFonts w:hint="eastAsia"/>
                <w:sz w:val="20"/>
                <w:szCs w:val="20"/>
              </w:rPr>
              <w:br/>
              <w:t xml:space="preserve">配SUS304 不锈钢调节子弹脚</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3</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705"/>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b/>
                <w:bCs/>
                <w:sz w:val="20"/>
                <w:szCs w:val="20"/>
              </w:rPr>
            </w:pPr>
            <w:r>
              <w:rPr>
                <w:rFonts w:hint="eastAsia"/>
                <w:b/>
                <w:bCs/>
                <w:sz w:val="20"/>
                <w:szCs w:val="20"/>
              </w:rPr>
              <w:t xml:space="preserve">四</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b/>
                <w:bCs/>
                <w:sz w:val="20"/>
                <w:szCs w:val="20"/>
              </w:rPr>
            </w:pPr>
            <w:r>
              <w:rPr>
                <w:rFonts w:hint="eastAsia"/>
                <w:b/>
                <w:bCs/>
                <w:sz w:val="20"/>
                <w:szCs w:val="20"/>
              </w:rPr>
              <w:t xml:space="preserve">燃气及厨房用具</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sz w:val="20"/>
                <w:szCs w:val="20"/>
              </w:rPr>
            </w:pPr>
            <w:r>
              <w:rPr>
                <w:rFonts w:hint="eastAsia"/>
                <w:sz w:val="20"/>
                <w:szCs w:val="20"/>
              </w:rPr>
              <w:t xml:space="preserve">　</w:t>
            </w:r>
            <w:r/>
          </w:p>
        </w:tc>
      </w:tr>
      <w:tr>
        <w:trPr>
          <w:trHeight w:val="3300"/>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56</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单门蒸饭柜</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700*850*1800</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br/>
              <w:t xml:space="preserve">1、柜体：采用SUS304≥1.5mm不锈钢板；                  </w:t>
            </w:r>
            <w:r>
              <w:rPr>
                <w:rFonts w:hint="eastAsia"/>
                <w:sz w:val="20"/>
                <w:szCs w:val="20"/>
              </w:rPr>
              <w:br/>
              <w:t xml:space="preserve">2、侧板：采用SUS304≥1.2mm不锈钢板；</w:t>
            </w:r>
            <w:r>
              <w:rPr>
                <w:rFonts w:hint="eastAsia"/>
                <w:sz w:val="20"/>
                <w:szCs w:val="20"/>
              </w:rPr>
              <w:br/>
              <w:t xml:space="preserve">3、内胆：采用SUS304≥1.5mm不锈钢板，横卧式放置；</w:t>
            </w:r>
            <w:r>
              <w:rPr>
                <w:rFonts w:hint="eastAsia"/>
                <w:sz w:val="20"/>
                <w:szCs w:val="20"/>
              </w:rPr>
              <w:br/>
              <w:t xml:space="preserve">4、智能操作：一键式按钮启动，配水垢清洗装置；</w:t>
            </w:r>
            <w:r>
              <w:rPr>
                <w:rFonts w:hint="eastAsia"/>
                <w:sz w:val="20"/>
                <w:szCs w:val="20"/>
              </w:rPr>
              <w:br/>
              <w:t xml:space="preserve">5、风机功率：≥120W ；</w:t>
            </w:r>
            <w:r>
              <w:rPr>
                <w:rFonts w:hint="eastAsia"/>
                <w:sz w:val="20"/>
                <w:szCs w:val="20"/>
              </w:rPr>
              <w:br/>
              <w:t xml:space="preserve">6、控制系统：自动脉冲电子点火、离子火焰监控、双向电磁阀、带缺水、过热、过压及熄火保护装置；</w:t>
            </w:r>
            <w:r>
              <w:rPr>
                <w:rFonts w:hint="eastAsia"/>
                <w:sz w:val="20"/>
                <w:szCs w:val="20"/>
              </w:rPr>
              <w:br/>
              <w:t xml:space="preserve">7、环保排放：排气烟管温度低于65℃；</w:t>
            </w:r>
            <w:r>
              <w:rPr>
                <w:rFonts w:hint="eastAsia"/>
                <w:sz w:val="20"/>
                <w:szCs w:val="20"/>
              </w:rPr>
              <w:br/>
              <w:t xml:space="preserve">8、高效快速：90-120秒内上蒸汽。</w:t>
            </w:r>
            <w:r>
              <w:rPr>
                <w:rFonts w:hint="eastAsia"/>
                <w:sz w:val="20"/>
                <w:szCs w:val="20"/>
              </w:rPr>
              <w:br/>
              <w:t xml:space="preserve">9、配相应尺寸蒸饭盘12只。</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4</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sz w:val="20"/>
                <w:szCs w:val="20"/>
              </w:rPr>
            </w:pPr>
            <w:r>
              <w:rPr>
                <w:rFonts w:hint="eastAsia"/>
                <w:sz w:val="20"/>
                <w:szCs w:val="20"/>
              </w:rPr>
              <w:t xml:space="preserve">　</w:t>
            </w:r>
            <w:r/>
          </w:p>
        </w:tc>
      </w:tr>
      <w:tr>
        <w:trPr>
          <w:trHeight w:val="3300"/>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57</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燃气推车蒸柜</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1150*1050*1750</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1、柜体：采用SUS304≥1.5mm不锈钢板；</w:t>
            </w:r>
            <w:r>
              <w:rPr>
                <w:rFonts w:hint="eastAsia"/>
                <w:sz w:val="20"/>
                <w:szCs w:val="20"/>
              </w:rPr>
              <w:br/>
              <w:t xml:space="preserve">2、侧板：采用SUS304≥1.2mm不锈钢板；</w:t>
            </w:r>
            <w:r>
              <w:rPr>
                <w:rFonts w:hint="eastAsia"/>
                <w:sz w:val="20"/>
                <w:szCs w:val="20"/>
              </w:rPr>
              <w:br/>
              <w:t xml:space="preserve">3、内胆：采用SUS304≥1.5mm不锈钢板；</w:t>
            </w:r>
            <w:r>
              <w:rPr>
                <w:rFonts w:hint="eastAsia"/>
                <w:sz w:val="20"/>
                <w:szCs w:val="20"/>
              </w:rPr>
              <w:br/>
              <w:t xml:space="preserve">4、炉头：采用节能环保炉头；</w:t>
            </w:r>
            <w:r>
              <w:rPr>
                <w:rFonts w:hint="eastAsia"/>
                <w:sz w:val="20"/>
                <w:szCs w:val="20"/>
              </w:rPr>
              <w:br/>
              <w:t xml:space="preserve">5、智能操作：单键按钮启动；</w:t>
            </w:r>
            <w:r>
              <w:rPr>
                <w:rFonts w:hint="eastAsia"/>
                <w:sz w:val="20"/>
                <w:szCs w:val="20"/>
              </w:rPr>
              <w:br/>
              <w:t xml:space="preserve">6、风机功率：≥120W；</w:t>
            </w:r>
            <w:r>
              <w:rPr>
                <w:rFonts w:hint="eastAsia"/>
                <w:sz w:val="20"/>
                <w:szCs w:val="20"/>
              </w:rPr>
              <w:br/>
              <w:t xml:space="preserve">7、控制系统：自动脉冲电子点火、离子火焰监控、双向电磁阀、带缺水、过热、过压及熄火保护装置；</w:t>
            </w:r>
            <w:r>
              <w:rPr>
                <w:rFonts w:hint="eastAsia"/>
                <w:sz w:val="20"/>
                <w:szCs w:val="20"/>
              </w:rPr>
              <w:br/>
              <w:t xml:space="preserve">8、环保排放：排气烟管温度低于65℃；</w:t>
            </w:r>
            <w:r>
              <w:rPr>
                <w:rFonts w:hint="eastAsia"/>
                <w:sz w:val="20"/>
                <w:szCs w:val="20"/>
              </w:rPr>
              <w:br/>
              <w:t xml:space="preserve">9、高效快速：90-120秒内上蒸汽。</w:t>
            </w:r>
            <w:r>
              <w:rPr>
                <w:rFonts w:hint="eastAsia"/>
                <w:sz w:val="20"/>
                <w:szCs w:val="20"/>
              </w:rPr>
              <w:br/>
              <w:t xml:space="preserve">10、配相应尺寸蒸饭盘24只。</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2</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sz w:val="20"/>
                <w:szCs w:val="20"/>
              </w:rPr>
            </w:pPr>
            <w:r>
              <w:rPr>
                <w:rFonts w:hint="eastAsia"/>
                <w:sz w:val="20"/>
                <w:szCs w:val="20"/>
              </w:rPr>
              <w:t xml:space="preserve">　</w:t>
            </w:r>
            <w:r/>
          </w:p>
        </w:tc>
      </w:tr>
      <w:tr>
        <w:trPr>
          <w:trHeight w:val="501"/>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58</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燃气蒸汽发生器</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1000*450*900</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1、内胆采用：SUS304≥1.5mm不锈钢板制作，横卧式放置；</w:t>
            </w:r>
            <w:r>
              <w:rPr>
                <w:rFonts w:hint="eastAsia"/>
                <w:sz w:val="20"/>
                <w:szCs w:val="20"/>
              </w:rPr>
              <w:br/>
              <w:t xml:space="preserve">2、智能操作：一件式按钮启动，配水垢清洗装置；</w:t>
            </w:r>
            <w:r>
              <w:rPr>
                <w:rFonts w:hint="eastAsia"/>
                <w:sz w:val="20"/>
                <w:szCs w:val="20"/>
              </w:rPr>
              <w:br/>
              <w:t xml:space="preserve">3、风机功率：≥120W； </w:t>
            </w:r>
            <w:r>
              <w:rPr>
                <w:rFonts w:hint="eastAsia"/>
                <w:sz w:val="20"/>
                <w:szCs w:val="20"/>
              </w:rPr>
              <w:br/>
              <w:t xml:space="preserve">4、控制系统：自动脉冲电子点火、离子火焰监控、双向电磁阀、带缺水、过热、过压及熄火保护装置；</w:t>
            </w:r>
            <w:r>
              <w:rPr>
                <w:rFonts w:hint="eastAsia"/>
                <w:sz w:val="20"/>
                <w:szCs w:val="20"/>
              </w:rPr>
              <w:br/>
              <w:t xml:space="preserve">5、环保排放：排气烟管温度低于65℃；                       </w:t>
            </w:r>
            <w:r>
              <w:rPr>
                <w:rFonts w:hint="eastAsia"/>
                <w:sz w:val="20"/>
                <w:szCs w:val="20"/>
              </w:rPr>
              <w:br/>
              <w:t xml:space="preserve">6、高效快速：90-120秒内上蒸汽。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3</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sz w:val="20"/>
                <w:szCs w:val="20"/>
              </w:rPr>
            </w:pPr>
            <w:r>
              <w:rPr>
                <w:rFonts w:hint="eastAsia"/>
                <w:sz w:val="20"/>
                <w:szCs w:val="20"/>
              </w:rPr>
              <w:t xml:space="preserve">　</w:t>
            </w:r>
            <w:r/>
          </w:p>
        </w:tc>
      </w:tr>
      <w:tr>
        <w:trPr>
          <w:trHeight w:val="3660"/>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59</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双门蒸饭柜</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1200*850*1800</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1、柜体：采用SUS304≥1.5mm不锈钢板；</w:t>
            </w:r>
            <w:r>
              <w:rPr>
                <w:rFonts w:hint="eastAsia"/>
                <w:sz w:val="20"/>
                <w:szCs w:val="20"/>
              </w:rPr>
              <w:br/>
              <w:t xml:space="preserve">2、侧板：采用SUS304≥1.2mm不锈钢板；</w:t>
            </w:r>
            <w:r>
              <w:rPr>
                <w:rFonts w:hint="eastAsia"/>
                <w:sz w:val="20"/>
                <w:szCs w:val="20"/>
              </w:rPr>
              <w:br/>
              <w:t xml:space="preserve">3、内胆：采用SUS304≥1.5mm不锈钢板；</w:t>
            </w:r>
            <w:r>
              <w:rPr>
                <w:rFonts w:hint="eastAsia"/>
                <w:sz w:val="20"/>
                <w:szCs w:val="20"/>
              </w:rPr>
              <w:br/>
              <w:t xml:space="preserve">4、炉头：采用节能环保炉头；</w:t>
            </w:r>
            <w:r>
              <w:rPr>
                <w:rFonts w:hint="eastAsia"/>
                <w:sz w:val="20"/>
                <w:szCs w:val="20"/>
              </w:rPr>
              <w:br/>
              <w:t xml:space="preserve">5、智能操作： 单键按钮启动；</w:t>
            </w:r>
            <w:r>
              <w:rPr>
                <w:rFonts w:hint="eastAsia"/>
                <w:sz w:val="20"/>
                <w:szCs w:val="20"/>
              </w:rPr>
              <w:br/>
              <w:t xml:space="preserve">6、风机功率：≥120W；</w:t>
            </w:r>
            <w:r>
              <w:rPr>
                <w:rFonts w:hint="eastAsia"/>
                <w:sz w:val="20"/>
                <w:szCs w:val="20"/>
              </w:rPr>
              <w:br/>
              <w:t xml:space="preserve">7、控制系统：自动脉冲电子点火、离子火焰监控、双向电磁阀、带缺水、过热、过压及熄火保护装置；</w:t>
            </w:r>
            <w:r>
              <w:rPr>
                <w:rFonts w:hint="eastAsia"/>
                <w:sz w:val="20"/>
                <w:szCs w:val="20"/>
              </w:rPr>
              <w:br/>
              <w:t xml:space="preserve">8、环保排放：排气烟管温度低于65℃；                       </w:t>
            </w:r>
            <w:r>
              <w:rPr>
                <w:rFonts w:hint="eastAsia"/>
                <w:sz w:val="20"/>
                <w:szCs w:val="20"/>
              </w:rPr>
              <w:br/>
              <w:t xml:space="preserve">9、高效快速：90-120秒内上蒸汽。</w:t>
            </w:r>
            <w:r>
              <w:rPr>
                <w:rFonts w:hint="eastAsia"/>
                <w:sz w:val="20"/>
                <w:szCs w:val="20"/>
              </w:rPr>
              <w:br/>
              <w:t xml:space="preserve">10、配相应尺寸蒸饭盘24只。</w:t>
            </w:r>
            <w:r>
              <w:rPr>
                <w:rFonts w:hint="eastAsia"/>
                <w:sz w:val="20"/>
                <w:szCs w:val="20"/>
              </w:rPr>
              <w:br/>
            </w:r>
            <w:r>
              <w:rPr>
                <w:rFonts w:hint="eastAsia"/>
                <w:color w:val="ee0000"/>
                <w:sz w:val="20"/>
                <w:szCs w:val="20"/>
              </w:rPr>
              <w:t xml:space="preserve">★</w:t>
            </w:r>
            <w:r>
              <w:rPr>
                <w:rFonts w:hint="eastAsia"/>
                <w:color w:val="ee0000"/>
                <w:sz w:val="20"/>
                <w:szCs w:val="20"/>
              </w:rPr>
              <w:t xml:space="preserve">11、</w:t>
            </w:r>
            <w:r>
              <w:rPr>
                <w:rFonts w:hint="eastAsia"/>
                <w:color w:val="ee0000"/>
                <w:sz w:val="20"/>
                <w:szCs w:val="20"/>
              </w:rPr>
              <w:t xml:space="preserve">依据GB 30531-2014商用燃气灶具能效限定值及能效等级，能效等级1级。</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3</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sz w:val="20"/>
                <w:szCs w:val="20"/>
              </w:rPr>
            </w:pPr>
            <w:r>
              <w:rPr>
                <w:rFonts w:hint="eastAsia"/>
                <w:sz w:val="20"/>
                <w:szCs w:val="20"/>
              </w:rPr>
              <w:t xml:space="preserve">　</w:t>
            </w:r>
            <w:r/>
          </w:p>
        </w:tc>
      </w:tr>
      <w:tr>
        <w:trPr>
          <w:trHeight w:val="3000"/>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60</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三门蒸柜</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910*910*1850</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1、柜体：采用SUS304≥1.5mm不锈钢板；</w:t>
            </w:r>
            <w:r>
              <w:rPr>
                <w:rFonts w:hint="eastAsia"/>
                <w:sz w:val="20"/>
                <w:szCs w:val="20"/>
              </w:rPr>
              <w:br/>
              <w:t xml:space="preserve">2、侧板：采用SUS304≥1.2mm不锈钢板；</w:t>
            </w:r>
            <w:r>
              <w:rPr>
                <w:rFonts w:hint="eastAsia"/>
                <w:sz w:val="20"/>
                <w:szCs w:val="20"/>
              </w:rPr>
              <w:br/>
              <w:t xml:space="preserve">3、内胆：采用SUS304≥1.5mm不锈钢板；</w:t>
            </w:r>
            <w:r>
              <w:rPr>
                <w:rFonts w:hint="eastAsia"/>
                <w:sz w:val="20"/>
                <w:szCs w:val="20"/>
              </w:rPr>
              <w:br/>
              <w:t xml:space="preserve">4、炉头：采用节能环保炉头；</w:t>
            </w:r>
            <w:r>
              <w:rPr>
                <w:rFonts w:hint="eastAsia"/>
                <w:sz w:val="20"/>
                <w:szCs w:val="20"/>
              </w:rPr>
              <w:br/>
              <w:t xml:space="preserve">5、智能操作： 单键按钮启动；</w:t>
            </w:r>
            <w:r>
              <w:rPr>
                <w:rFonts w:hint="eastAsia"/>
                <w:sz w:val="20"/>
                <w:szCs w:val="20"/>
              </w:rPr>
              <w:br/>
              <w:t xml:space="preserve">6、风机功率：≥120W；</w:t>
            </w:r>
            <w:r>
              <w:rPr>
                <w:rFonts w:hint="eastAsia"/>
                <w:sz w:val="20"/>
                <w:szCs w:val="20"/>
              </w:rPr>
              <w:br/>
              <w:t xml:space="preserve">7、控制系统：自动脉冲电子点火、离子火焰监控、双向电磁阀、带缺水、过热、过压及熄火保护装置，特殊水胆设计，换热面积大提高热效率，水胆可拆卸，方便维修保养；</w:t>
            </w:r>
            <w:r>
              <w:rPr>
                <w:rFonts w:hint="eastAsia"/>
                <w:sz w:val="20"/>
                <w:szCs w:val="20"/>
              </w:rPr>
              <w:br/>
              <w:t xml:space="preserve">8、环保排放：排气烟管温度低于65℃；                       </w:t>
            </w:r>
            <w:r>
              <w:rPr>
                <w:rFonts w:hint="eastAsia"/>
                <w:sz w:val="20"/>
                <w:szCs w:val="20"/>
              </w:rPr>
              <w:br/>
              <w:t xml:space="preserve">9、高效快速：90-120秒内上蒸汽。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1</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sz w:val="20"/>
                <w:szCs w:val="20"/>
              </w:rPr>
            </w:pPr>
            <w:r>
              <w:rPr>
                <w:rFonts w:hint="eastAsia"/>
                <w:sz w:val="20"/>
                <w:szCs w:val="20"/>
              </w:rPr>
              <w:t xml:space="preserve">　</w:t>
            </w:r>
            <w:r/>
          </w:p>
        </w:tc>
      </w:tr>
      <w:tr>
        <w:trPr>
          <w:trHeight w:val="2010"/>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61</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单头单尾炒灶</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1100*1200*800+400</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1、台面：采用SUS304≥1.5mm不锈钢板；</w:t>
            </w:r>
            <w:r>
              <w:rPr>
                <w:rFonts w:hint="eastAsia"/>
                <w:sz w:val="20"/>
                <w:szCs w:val="20"/>
              </w:rPr>
              <w:br/>
              <w:t xml:space="preserve">2、围板：采用SUS304≥1.2mm不锈钢板；</w:t>
            </w:r>
            <w:r>
              <w:rPr>
                <w:rFonts w:hint="eastAsia"/>
                <w:sz w:val="20"/>
                <w:szCs w:val="20"/>
              </w:rPr>
              <w:br/>
              <w:t xml:space="preserve">3、承力架:≥4#镀锌国标角钢；</w:t>
            </w:r>
            <w:r>
              <w:rPr>
                <w:rFonts w:hint="eastAsia"/>
                <w:sz w:val="20"/>
                <w:szCs w:val="20"/>
              </w:rPr>
              <w:br/>
              <w:t xml:space="preserve">4、一体炉膛，电子点火环保节能炉头、带熄火保护装置；</w:t>
            </w:r>
            <w:r>
              <w:rPr>
                <w:rFonts w:hint="eastAsia"/>
                <w:sz w:val="20"/>
                <w:szCs w:val="20"/>
              </w:rPr>
              <w:br/>
              <w:t xml:space="preserve">5、鼓风机：节能低噪音风机；功率：≥250W</w:t>
            </w:r>
            <w:r>
              <w:rPr>
                <w:rFonts w:hint="eastAsia"/>
                <w:sz w:val="20"/>
                <w:szCs w:val="20"/>
              </w:rPr>
              <w:br/>
              <w:t xml:space="preserve">6、配</w:t>
            </w:r>
            <w:r>
              <w:rPr>
                <w:rFonts w:ascii="Calibri" w:hAnsi="Calibri" w:cs="Calibri"/>
                <w:sz w:val="20"/>
                <w:szCs w:val="20"/>
              </w:rPr>
              <w:t xml:space="preserve">φ</w:t>
            </w:r>
            <w:r>
              <w:rPr>
                <w:rFonts w:hint="eastAsia"/>
                <w:sz w:val="20"/>
                <w:szCs w:val="20"/>
              </w:rPr>
              <w:t xml:space="preserve">500mm锅具1口；</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3</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sz w:val="20"/>
                <w:szCs w:val="20"/>
              </w:rPr>
            </w:pPr>
            <w:r>
              <w:rPr>
                <w:rFonts w:hint="eastAsia"/>
                <w:sz w:val="20"/>
                <w:szCs w:val="20"/>
              </w:rPr>
              <w:t xml:space="preserve">　</w:t>
            </w:r>
            <w:r/>
          </w:p>
        </w:tc>
      </w:tr>
      <w:tr>
        <w:trPr>
          <w:trHeight w:val="2882"/>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62</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双头大锅灶</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2200*1200*800+400</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1、台面：采用SUS304 ≥1.5mm不锈钢板；</w:t>
            </w:r>
            <w:r>
              <w:rPr>
                <w:rFonts w:hint="eastAsia"/>
                <w:sz w:val="20"/>
                <w:szCs w:val="20"/>
              </w:rPr>
              <w:br/>
              <w:t xml:space="preserve">2、围板：采用SUS304 ≥1.2mm不锈钢板；</w:t>
            </w:r>
            <w:r>
              <w:rPr>
                <w:rFonts w:hint="eastAsia"/>
                <w:sz w:val="20"/>
                <w:szCs w:val="20"/>
              </w:rPr>
              <w:br/>
              <w:t xml:space="preserve">3、承力架:≥5#镀锌国标角钢</w:t>
            </w:r>
            <w:r>
              <w:rPr>
                <w:rFonts w:hint="eastAsia"/>
                <w:sz w:val="20"/>
                <w:szCs w:val="20"/>
              </w:rPr>
              <w:br/>
              <w:t xml:space="preserve">4、一体炉膛，电子点火环保节能炉头，带熄火保护装置；</w:t>
            </w:r>
            <w:r>
              <w:rPr>
                <w:rFonts w:hint="eastAsia"/>
                <w:sz w:val="20"/>
                <w:szCs w:val="20"/>
              </w:rPr>
              <w:br/>
              <w:t xml:space="preserve">5、鼓风机：节能低噪音风机；功率：≥250W*2</w:t>
            </w:r>
            <w:r>
              <w:rPr>
                <w:rFonts w:hint="eastAsia"/>
                <w:sz w:val="20"/>
                <w:szCs w:val="20"/>
              </w:rPr>
              <w:br/>
              <w:t xml:space="preserve">6、配</w:t>
            </w:r>
            <w:r>
              <w:rPr>
                <w:rFonts w:ascii="Calibri" w:hAnsi="Calibri" w:cs="Calibri"/>
                <w:sz w:val="20"/>
                <w:szCs w:val="20"/>
              </w:rPr>
              <w:t xml:space="preserve">φ</w:t>
            </w:r>
            <w:r>
              <w:rPr>
                <w:rFonts w:hint="eastAsia"/>
                <w:sz w:val="20"/>
                <w:szCs w:val="20"/>
              </w:rPr>
              <w:t xml:space="preserve">900mm锅具2口；</w:t>
            </w:r>
            <w:r>
              <w:rPr>
                <w:rFonts w:hint="eastAsia"/>
                <w:sz w:val="20"/>
                <w:szCs w:val="20"/>
              </w:rPr>
              <w:br/>
              <w:t xml:space="preserve">7、铸铁可调重力脚。</w:t>
            </w:r>
            <w:r>
              <w:rPr>
                <w:rFonts w:hint="eastAsia"/>
                <w:sz w:val="20"/>
                <w:szCs w:val="20"/>
              </w:rPr>
              <w:br/>
            </w:r>
            <w:r>
              <w:rPr>
                <w:rFonts w:hint="eastAsia"/>
                <w:color w:val="ee0000"/>
                <w:sz w:val="20"/>
                <w:szCs w:val="20"/>
              </w:rPr>
              <w:t xml:space="preserve">★</w:t>
            </w:r>
            <w:r>
              <w:rPr>
                <w:rFonts w:hint="eastAsia"/>
                <w:color w:val="ee0000"/>
                <w:sz w:val="20"/>
                <w:szCs w:val="20"/>
              </w:rPr>
              <w:t xml:space="preserve">8、</w:t>
            </w:r>
            <w:r>
              <w:rPr>
                <w:rFonts w:hint="eastAsia"/>
                <w:color w:val="ee0000"/>
                <w:sz w:val="20"/>
                <w:szCs w:val="20"/>
              </w:rPr>
              <w:t xml:space="preserve">依据GB 30531-2014商用燃气灶具能效限定值及能效等级，能效等级1级。</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5</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sz w:val="20"/>
                <w:szCs w:val="20"/>
              </w:rPr>
            </w:pPr>
            <w:r>
              <w:rPr>
                <w:rFonts w:hint="eastAsia"/>
                <w:sz w:val="20"/>
                <w:szCs w:val="20"/>
              </w:rPr>
              <w:t xml:space="preserve">　</w:t>
            </w:r>
            <w:r/>
          </w:p>
        </w:tc>
      </w:tr>
      <w:tr>
        <w:trPr>
          <w:trHeight w:val="2010"/>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63</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双头单尾炒灶</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1800*1200*800+400</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1、台面：采用SUS304 ≥1.5mm不锈钢板；</w:t>
            </w:r>
            <w:r>
              <w:rPr>
                <w:rFonts w:hint="eastAsia"/>
                <w:sz w:val="20"/>
                <w:szCs w:val="20"/>
              </w:rPr>
              <w:br/>
              <w:t xml:space="preserve">2、围板：采用SUS304 ≥1.2mm不锈钢板；</w:t>
            </w:r>
            <w:r>
              <w:rPr>
                <w:rFonts w:hint="eastAsia"/>
                <w:sz w:val="20"/>
                <w:szCs w:val="20"/>
              </w:rPr>
              <w:br/>
              <w:t xml:space="preserve">3、承力架:≥4#镀锌国标角钢；</w:t>
            </w:r>
            <w:r>
              <w:rPr>
                <w:rFonts w:hint="eastAsia"/>
                <w:sz w:val="20"/>
                <w:szCs w:val="20"/>
              </w:rPr>
              <w:br/>
              <w:t xml:space="preserve">4、一体炉膛，电子点火环保节能炉头，带熄火保护装置；</w:t>
            </w:r>
            <w:r>
              <w:rPr>
                <w:rFonts w:hint="eastAsia"/>
                <w:sz w:val="20"/>
                <w:szCs w:val="20"/>
              </w:rPr>
              <w:br/>
              <w:t xml:space="preserve">5、鼓风机：节能低噪音风机；功率：≥250W*2</w:t>
            </w:r>
            <w:r>
              <w:rPr>
                <w:rFonts w:hint="eastAsia"/>
                <w:sz w:val="20"/>
                <w:szCs w:val="20"/>
              </w:rPr>
              <w:br/>
              <w:t xml:space="preserve">6、配</w:t>
            </w:r>
            <w:r>
              <w:rPr>
                <w:rFonts w:ascii="Calibri" w:hAnsi="Calibri" w:cs="Calibri"/>
                <w:sz w:val="20"/>
                <w:szCs w:val="20"/>
              </w:rPr>
              <w:t xml:space="preserve">φ</w:t>
            </w:r>
            <w:r>
              <w:rPr>
                <w:rFonts w:hint="eastAsia"/>
                <w:sz w:val="20"/>
                <w:szCs w:val="20"/>
              </w:rPr>
              <w:t xml:space="preserve">500mm锅具2口；</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3</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sz w:val="20"/>
                <w:szCs w:val="20"/>
              </w:rPr>
            </w:pPr>
            <w:r>
              <w:rPr>
                <w:rFonts w:hint="eastAsia"/>
                <w:sz w:val="20"/>
                <w:szCs w:val="20"/>
              </w:rPr>
              <w:t xml:space="preserve">　</w:t>
            </w:r>
            <w:r/>
          </w:p>
        </w:tc>
      </w:tr>
      <w:tr>
        <w:trPr>
          <w:trHeight w:val="2085"/>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64</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双头双尾炒灶</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2200*1200*800+400</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1、台面：采用SUS304 ≥1.5mm不锈钢板；</w:t>
            </w:r>
            <w:r>
              <w:rPr>
                <w:rFonts w:hint="eastAsia"/>
                <w:sz w:val="20"/>
                <w:szCs w:val="20"/>
              </w:rPr>
              <w:br/>
              <w:t xml:space="preserve">2、围板：采用SUS304 ≥1.2mm不锈钢板；</w:t>
            </w:r>
            <w:r>
              <w:rPr>
                <w:rFonts w:hint="eastAsia"/>
                <w:sz w:val="20"/>
                <w:szCs w:val="20"/>
              </w:rPr>
              <w:br/>
              <w:t xml:space="preserve">3、承力架:≥5#镀锌国标角钢</w:t>
            </w:r>
            <w:r>
              <w:rPr>
                <w:rFonts w:hint="eastAsia"/>
                <w:sz w:val="20"/>
                <w:szCs w:val="20"/>
              </w:rPr>
              <w:br/>
              <w:t xml:space="preserve">4、一体炉膛，电子点火环保节能炉头，带熄火保护装置；</w:t>
            </w:r>
            <w:r>
              <w:rPr>
                <w:rFonts w:hint="eastAsia"/>
                <w:sz w:val="20"/>
                <w:szCs w:val="20"/>
              </w:rPr>
              <w:br/>
              <w:t xml:space="preserve">5、鼓风机：节能低噪音风机；功率：≥250W*2；</w:t>
            </w:r>
            <w:r>
              <w:rPr>
                <w:rFonts w:hint="eastAsia"/>
                <w:sz w:val="20"/>
                <w:szCs w:val="20"/>
              </w:rPr>
              <w:br/>
              <w:t xml:space="preserve">6、配</w:t>
            </w:r>
            <w:r>
              <w:rPr>
                <w:rFonts w:ascii="Calibri" w:hAnsi="Calibri" w:cs="Calibri"/>
                <w:sz w:val="20"/>
                <w:szCs w:val="20"/>
              </w:rPr>
              <w:t xml:space="preserve">φ</w:t>
            </w:r>
            <w:r>
              <w:rPr>
                <w:rFonts w:hint="eastAsia"/>
                <w:sz w:val="20"/>
                <w:szCs w:val="20"/>
              </w:rPr>
              <w:t xml:space="preserve">500mm锅具2口；</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3</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sz w:val="20"/>
                <w:szCs w:val="20"/>
              </w:rPr>
            </w:pPr>
            <w:r>
              <w:rPr>
                <w:rFonts w:hint="eastAsia"/>
                <w:sz w:val="20"/>
                <w:szCs w:val="20"/>
              </w:rPr>
              <w:t xml:space="preserve">　</w:t>
            </w:r>
            <w:r/>
          </w:p>
        </w:tc>
      </w:tr>
      <w:tr>
        <w:trPr>
          <w:trHeight w:val="1820"/>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65</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小炒连大锅灶</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2000*1200*800+400</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1、台面：采用SUS304 ≥1.5mm不锈钢板；</w:t>
            </w:r>
            <w:r>
              <w:rPr>
                <w:rFonts w:hint="eastAsia"/>
                <w:sz w:val="20"/>
                <w:szCs w:val="20"/>
              </w:rPr>
              <w:br/>
              <w:t xml:space="preserve">2、围板：采用SUS304 ≥1.2mm不锈钢板；</w:t>
            </w:r>
            <w:r>
              <w:rPr>
                <w:rFonts w:hint="eastAsia"/>
                <w:sz w:val="20"/>
                <w:szCs w:val="20"/>
              </w:rPr>
              <w:br/>
              <w:t xml:space="preserve">3、承力架:≥5#镀锌国标角钢</w:t>
            </w:r>
            <w:r>
              <w:rPr>
                <w:rFonts w:hint="eastAsia"/>
                <w:sz w:val="20"/>
                <w:szCs w:val="20"/>
              </w:rPr>
              <w:br/>
              <w:t xml:space="preserve">4、一体炉膛，电子点火节能炉头，带熄火保护装置；；</w:t>
            </w:r>
            <w:r>
              <w:rPr>
                <w:rFonts w:hint="eastAsia"/>
                <w:sz w:val="20"/>
                <w:szCs w:val="20"/>
              </w:rPr>
              <w:br/>
              <w:t xml:space="preserve">5、鼓风机：节能低噪音风机；功率：≥250W*2；</w:t>
            </w:r>
            <w:r>
              <w:rPr>
                <w:rFonts w:hint="eastAsia"/>
                <w:sz w:val="20"/>
                <w:szCs w:val="20"/>
              </w:rPr>
              <w:br/>
              <w:t xml:space="preserve">6、配</w:t>
            </w:r>
            <w:r>
              <w:rPr>
                <w:rFonts w:ascii="Calibri" w:hAnsi="Calibri" w:cs="Calibri"/>
                <w:sz w:val="20"/>
                <w:szCs w:val="20"/>
              </w:rPr>
              <w:t xml:space="preserve">φ</w:t>
            </w:r>
            <w:r>
              <w:rPr>
                <w:rFonts w:hint="eastAsia"/>
                <w:sz w:val="20"/>
                <w:szCs w:val="20"/>
              </w:rPr>
              <w:t xml:space="preserve">800mm、</w:t>
            </w:r>
            <w:r>
              <w:rPr>
                <w:rFonts w:ascii="Calibri" w:hAnsi="Calibri" w:cs="Calibri"/>
                <w:sz w:val="20"/>
                <w:szCs w:val="20"/>
              </w:rPr>
              <w:t xml:space="preserve">φ</w:t>
            </w:r>
            <w:r>
              <w:rPr>
                <w:rFonts w:hint="eastAsia"/>
                <w:sz w:val="20"/>
                <w:szCs w:val="20"/>
              </w:rPr>
              <w:t xml:space="preserve">500mm锅具各1口；</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1</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sz w:val="20"/>
                <w:szCs w:val="20"/>
              </w:rPr>
            </w:pPr>
            <w:r>
              <w:rPr>
                <w:rFonts w:hint="eastAsia"/>
                <w:sz w:val="20"/>
                <w:szCs w:val="20"/>
              </w:rPr>
              <w:t xml:space="preserve">　</w:t>
            </w:r>
            <w:r/>
          </w:p>
        </w:tc>
      </w:tr>
      <w:tr>
        <w:trPr>
          <w:trHeight w:val="705"/>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b/>
                <w:bCs/>
                <w:sz w:val="20"/>
                <w:szCs w:val="20"/>
              </w:rPr>
            </w:pPr>
            <w:r>
              <w:rPr>
                <w:rFonts w:hint="eastAsia"/>
                <w:b/>
                <w:bCs/>
                <w:sz w:val="20"/>
                <w:szCs w:val="20"/>
              </w:rPr>
              <w:t xml:space="preserve">五</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b/>
                <w:bCs/>
                <w:sz w:val="20"/>
                <w:szCs w:val="20"/>
              </w:rPr>
            </w:pPr>
            <w:r>
              <w:rPr>
                <w:rFonts w:hint="eastAsia"/>
                <w:b/>
                <w:bCs/>
                <w:sz w:val="20"/>
                <w:szCs w:val="20"/>
              </w:rPr>
              <w:t xml:space="preserve">龙头类</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sz w:val="20"/>
                <w:szCs w:val="20"/>
              </w:rPr>
            </w:pPr>
            <w:r>
              <w:rPr>
                <w:rFonts w:hint="eastAsia"/>
                <w:sz w:val="20"/>
                <w:szCs w:val="20"/>
              </w:rPr>
              <w:t xml:space="preserve">　</w:t>
            </w:r>
            <w:r/>
          </w:p>
        </w:tc>
      </w:tr>
      <w:tr>
        <w:trPr>
          <w:trHeight w:val="1620"/>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66</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val="false"/>
          </w:tcPr>
          <w:p>
            <w:pPr>
              <w:rPr>
                <w:rFonts w:hint="eastAsia"/>
                <w:sz w:val="20"/>
                <w:szCs w:val="20"/>
              </w:rPr>
            </w:pPr>
            <w:r>
              <w:rPr>
                <w:rFonts w:hint="eastAsia"/>
                <w:sz w:val="20"/>
                <w:szCs w:val="20"/>
              </w:rPr>
              <w:t xml:space="preserve">感应龙头</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val="false"/>
          </w:tcPr>
          <w:p>
            <w:pP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1、H62黄铜铸造主体，表面抛光镀铬处理；</w:t>
            </w:r>
            <w:r>
              <w:rPr>
                <w:rFonts w:hint="eastAsia"/>
                <w:sz w:val="20"/>
                <w:szCs w:val="20"/>
              </w:rPr>
              <w:br/>
              <w:t xml:space="preserve">2、座台式安装，开孔尺寸25mm；</w:t>
            </w:r>
            <w:r>
              <w:rPr>
                <w:rFonts w:hint="eastAsia"/>
                <w:sz w:val="20"/>
                <w:szCs w:val="20"/>
              </w:rPr>
              <w:br/>
              <w:t xml:space="preserve">3、红外感应范围13cm(±5%），感应距离30cm范围内可调；</w:t>
            </w:r>
            <w:r>
              <w:rPr>
                <w:rFonts w:hint="eastAsia"/>
                <w:sz w:val="20"/>
                <w:szCs w:val="20"/>
              </w:rPr>
              <w:br/>
              <w:t xml:space="preserve">4、AC/DC控制模块，电源可选交流电或1.5V*4直流电源；</w:t>
            </w:r>
            <w:r>
              <w:rPr>
                <w:rFonts w:hint="eastAsia"/>
                <w:sz w:val="20"/>
                <w:szCs w:val="20"/>
              </w:rPr>
              <w:br/>
              <w:t xml:space="preserve">5、三通接口设计，可接冷、热水源，接口4分外螺纹；</w:t>
            </w:r>
            <w:r>
              <w:rPr>
                <w:rFonts w:hint="eastAsia"/>
                <w:sz w:val="20"/>
                <w:szCs w:val="20"/>
              </w:rPr>
              <w:br/>
              <w:t xml:space="preserve">6、感应龙头尺寸160*185*125mm，出水口距台面100mm(±5%）。</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rPr>
                <w:rFonts w:hint="eastAsia"/>
                <w:sz w:val="20"/>
                <w:szCs w:val="20"/>
              </w:rPr>
            </w:pPr>
            <w:r>
              <w:rPr>
                <w:rFonts w:hint="eastAsia"/>
                <w:sz w:val="20"/>
                <w:szCs w:val="20"/>
              </w:rPr>
              <w:t xml:space="preserve">只</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val="false"/>
          </w:tcPr>
          <w:p>
            <w:pPr>
              <w:jc w:val="center"/>
              <w:rPr>
                <w:rFonts w:hint="eastAsia"/>
                <w:sz w:val="20"/>
                <w:szCs w:val="20"/>
              </w:rPr>
            </w:pPr>
            <w:r>
              <w:rPr>
                <w:rFonts w:hint="eastAsia"/>
                <w:sz w:val="20"/>
                <w:szCs w:val="20"/>
              </w:rPr>
              <w:t xml:space="preserve">16</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sz w:val="20"/>
                <w:szCs w:val="20"/>
              </w:rPr>
            </w:pPr>
            <w:r>
              <w:rPr>
                <w:rFonts w:hint="eastAsia"/>
                <w:sz w:val="20"/>
                <w:szCs w:val="20"/>
              </w:rPr>
              <w:t xml:space="preserve">　</w:t>
            </w:r>
            <w:r/>
          </w:p>
        </w:tc>
      </w:tr>
      <w:tr>
        <w:trPr>
          <w:trHeight w:val="643"/>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67</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val="false"/>
          </w:tcPr>
          <w:p>
            <w:pPr>
              <w:rPr>
                <w:rFonts w:hint="eastAsia"/>
                <w:sz w:val="20"/>
                <w:szCs w:val="20"/>
              </w:rPr>
            </w:pPr>
            <w:r>
              <w:rPr>
                <w:rFonts w:hint="eastAsia"/>
                <w:sz w:val="20"/>
                <w:szCs w:val="20"/>
              </w:rPr>
              <w:t xml:space="preserve">双温高压花洒龙头</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1、座台式双孔双温高压花洒、黄铜铸造表面抛光镀铬处理；</w:t>
            </w:r>
            <w:r>
              <w:rPr>
                <w:rFonts w:hint="eastAsia"/>
                <w:sz w:val="20"/>
                <w:szCs w:val="20"/>
              </w:rPr>
              <w:br/>
              <w:t xml:space="preserve">2、优质陶瓷阀芯、一字手柄；</w:t>
            </w:r>
            <w:r>
              <w:rPr>
                <w:rFonts w:hint="eastAsia"/>
                <w:sz w:val="20"/>
                <w:szCs w:val="20"/>
              </w:rPr>
              <w:br/>
              <w:t xml:space="preserve">3、横向固定杆长度300mm(±5%）,工作高度1300mm(±5%）；</w:t>
            </w:r>
            <w:r>
              <w:rPr>
                <w:rFonts w:hint="eastAsia"/>
                <w:sz w:val="20"/>
                <w:szCs w:val="20"/>
              </w:rPr>
              <w:br/>
              <w:t xml:space="preserve">4、标准1/2''外螺纹；</w:t>
            </w:r>
            <w:r>
              <w:rPr>
                <w:rFonts w:hint="eastAsia"/>
                <w:sz w:val="20"/>
                <w:szCs w:val="20"/>
              </w:rPr>
              <w:br/>
              <w:t xml:space="preserve">5、不锈钢软管配大流量喷阀，耐热手柄；</w:t>
            </w:r>
            <w:r>
              <w:rPr>
                <w:rFonts w:hint="eastAsia"/>
                <w:sz w:val="20"/>
                <w:szCs w:val="20"/>
              </w:rPr>
              <w:br/>
              <w:t xml:space="preserve">6、配12寸摇摆龙头。</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只</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3</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sz w:val="20"/>
                <w:szCs w:val="20"/>
              </w:rPr>
            </w:pPr>
            <w:r>
              <w:rPr>
                <w:rFonts w:hint="eastAsia"/>
                <w:sz w:val="20"/>
                <w:szCs w:val="20"/>
              </w:rPr>
              <w:t xml:space="preserve">　</w:t>
            </w:r>
            <w:r/>
          </w:p>
        </w:tc>
      </w:tr>
      <w:tr>
        <w:trPr>
          <w:trHeight w:val="1902"/>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68</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val="false"/>
          </w:tcPr>
          <w:p>
            <w:pPr>
              <w:rPr>
                <w:rFonts w:hint="eastAsia"/>
                <w:sz w:val="20"/>
                <w:szCs w:val="20"/>
              </w:rPr>
            </w:pPr>
            <w:r>
              <w:rPr>
                <w:rFonts w:hint="eastAsia"/>
                <w:sz w:val="20"/>
                <w:szCs w:val="20"/>
              </w:rPr>
              <w:t xml:space="preserve">双温混水龙头</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val="false"/>
          </w:tcPr>
          <w:p>
            <w:pP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1、座台式双孔双温、主体黄铜铸造表面抛光镀铬处理；</w:t>
            </w:r>
            <w:r>
              <w:rPr>
                <w:rFonts w:hint="eastAsia"/>
                <w:sz w:val="20"/>
                <w:szCs w:val="20"/>
              </w:rPr>
              <w:br/>
              <w:t xml:space="preserve">2、配1/4转优质陶瓷阀芯一字型手柄；</w:t>
            </w:r>
            <w:r>
              <w:rPr>
                <w:rFonts w:hint="eastAsia"/>
                <w:sz w:val="20"/>
                <w:szCs w:val="20"/>
              </w:rPr>
              <w:br/>
              <w:t xml:space="preserve">3、十二寸（304mm）平颈水嘴，360度可旋转；</w:t>
            </w:r>
            <w:r>
              <w:rPr>
                <w:rFonts w:hint="eastAsia"/>
                <w:sz w:val="20"/>
                <w:szCs w:val="20"/>
              </w:rPr>
              <w:br/>
              <w:t xml:space="preserve">4、开孔尺寸25mm*2,左右开孔间距203mm(偏芯设计可调范围15mm)，进水接口为标准1/2''外螺纹；</w:t>
            </w:r>
            <w:r>
              <w:rPr>
                <w:rFonts w:hint="eastAsia"/>
                <w:sz w:val="20"/>
                <w:szCs w:val="20"/>
              </w:rPr>
              <w:br/>
              <w:t xml:space="preserve">5、总高度272mm(±5%）,出水口距台面190mm(±5%）。</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rPr>
                <w:rFonts w:hint="eastAsia"/>
                <w:sz w:val="20"/>
                <w:szCs w:val="20"/>
              </w:rPr>
            </w:pPr>
            <w:r>
              <w:rPr>
                <w:rFonts w:hint="eastAsia"/>
                <w:sz w:val="20"/>
                <w:szCs w:val="20"/>
              </w:rPr>
              <w:t xml:space="preserve">只</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val="false"/>
          </w:tcPr>
          <w:p>
            <w:pPr>
              <w:jc w:val="center"/>
              <w:rPr>
                <w:rFonts w:hint="eastAsia"/>
                <w:sz w:val="20"/>
                <w:szCs w:val="20"/>
              </w:rPr>
            </w:pPr>
            <w:r>
              <w:rPr>
                <w:rFonts w:hint="eastAsia"/>
                <w:sz w:val="20"/>
                <w:szCs w:val="20"/>
              </w:rPr>
              <w:t xml:space="preserve">73</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sz w:val="20"/>
                <w:szCs w:val="20"/>
              </w:rPr>
            </w:pPr>
            <w:r>
              <w:rPr>
                <w:rFonts w:hint="eastAsia"/>
                <w:sz w:val="20"/>
                <w:szCs w:val="20"/>
              </w:rPr>
              <w:t xml:space="preserve">　</w:t>
            </w:r>
            <w:r/>
          </w:p>
        </w:tc>
      </w:tr>
      <w:tr>
        <w:trPr>
          <w:trHeight w:val="2400"/>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69</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洗地龙头</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val="false"/>
          </w:tcPr>
          <w:p>
            <w:pP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1、开放式洗地龙头、碳钢主体，表面环氧喷涂处理（黑色）；</w:t>
            </w:r>
            <w:r>
              <w:rPr>
                <w:rFonts w:hint="eastAsia"/>
                <w:sz w:val="20"/>
                <w:szCs w:val="20"/>
              </w:rPr>
              <w:br/>
              <w:t xml:space="preserve">2、固定侧支架钢板厚度5mm(±5%），黄铜进水主体；</w:t>
            </w:r>
            <w:r>
              <w:rPr>
                <w:rFonts w:hint="eastAsia"/>
                <w:sz w:val="20"/>
                <w:szCs w:val="20"/>
              </w:rPr>
              <w:br/>
              <w:t xml:space="preserve">3、10.7(±5%）米重工无痕三层液压钢丝管（黑色）、与主体接口为金属连接件不易损坏漏水，喉管耐温85度(±5%），极限耐压18mpa，0.1mpa测试水枪每分钟4.9L水流量，射程3-4M；</w:t>
            </w:r>
            <w:r>
              <w:rPr>
                <w:rFonts w:hint="eastAsia"/>
                <w:sz w:val="20"/>
                <w:szCs w:val="20"/>
              </w:rPr>
              <w:br/>
              <w:t xml:space="preserve">4、黄铜铸造枪式喷头、前置扳机、配有橡胶保护套水压可调（配置一把喷头）；</w:t>
            </w:r>
            <w:r>
              <w:rPr>
                <w:rFonts w:hint="eastAsia"/>
                <w:sz w:val="20"/>
                <w:szCs w:val="20"/>
              </w:rPr>
              <w:br/>
              <w:t xml:space="preserve">5、进水接口为标准304#不锈钢G1/2外螺纹。</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只</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7</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sz w:val="20"/>
                <w:szCs w:val="20"/>
              </w:rPr>
            </w:pPr>
            <w:r>
              <w:rPr>
                <w:rFonts w:hint="eastAsia"/>
                <w:sz w:val="20"/>
                <w:szCs w:val="20"/>
              </w:rPr>
              <w:t xml:space="preserve">　</w:t>
            </w:r>
            <w:r/>
          </w:p>
        </w:tc>
      </w:tr>
      <w:tr>
        <w:trPr>
          <w:trHeight w:val="2220"/>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70</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摇摆水龙头1</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val="false"/>
          </w:tcPr>
          <w:p>
            <w:pP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1、单孔主体黄铜铸造，表面抛光铜镍铬处理。</w:t>
            </w:r>
            <w:r>
              <w:rPr>
                <w:rFonts w:hint="eastAsia"/>
                <w:sz w:val="20"/>
                <w:szCs w:val="20"/>
              </w:rPr>
              <w:br/>
              <w:t xml:space="preserve">2、加厚款黄铜陶瓷阀芯，紧固的六角锌合金双手柄，不易松动。</w:t>
            </w:r>
            <w:r>
              <w:rPr>
                <w:rFonts w:hint="eastAsia"/>
                <w:sz w:val="20"/>
                <w:szCs w:val="20"/>
              </w:rPr>
              <w:br/>
              <w:t xml:space="preserve">3、黄铜水嘴，304 钢丝节能起泡器，两侧留有钳口位，堵塞便捷更换。</w:t>
            </w:r>
            <w:r>
              <w:rPr>
                <w:rFonts w:hint="eastAsia"/>
                <w:sz w:val="20"/>
                <w:szCs w:val="20"/>
              </w:rPr>
              <w:br/>
              <w:t xml:space="preserve">4、具备长时间使用防止主体松动特制工艺，采用优质丁晴胶耐磨防漏。</w:t>
            </w:r>
            <w:r>
              <w:rPr>
                <w:rFonts w:hint="eastAsia"/>
                <w:sz w:val="20"/>
                <w:szCs w:val="20"/>
              </w:rPr>
              <w:br/>
              <w:t xml:space="preserve">5、适于安装在商业厨房炉灶的使用。</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只</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3</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val="false"/>
          </w:tcPr>
          <w:p>
            <w:pPr>
              <w:rPr>
                <w:rFonts w:hint="eastAsia"/>
                <w:sz w:val="20"/>
                <w:szCs w:val="20"/>
              </w:rPr>
            </w:pPr>
            <w:r>
              <w:rPr>
                <w:rFonts w:hint="eastAsia"/>
                <w:sz w:val="20"/>
                <w:szCs w:val="20"/>
              </w:rPr>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sz w:val="20"/>
                <w:szCs w:val="20"/>
              </w:rPr>
            </w:pPr>
            <w:r>
              <w:rPr>
                <w:rFonts w:hint="eastAsia"/>
                <w:sz w:val="20"/>
                <w:szCs w:val="20"/>
              </w:rPr>
              <w:t xml:space="preserve">用于单头单尾炒灶</w:t>
            </w:r>
            <w:r/>
          </w:p>
        </w:tc>
      </w:tr>
      <w:tr>
        <w:trPr>
          <w:trHeight w:val="1620"/>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71</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摇摆水龙头2</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val="false"/>
          </w:tcPr>
          <w:p>
            <w:pP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1、单孔主体黄铜铸造，表面抛光铜镍铬处理。</w:t>
            </w:r>
            <w:r>
              <w:rPr>
                <w:rFonts w:hint="eastAsia"/>
                <w:sz w:val="20"/>
                <w:szCs w:val="20"/>
              </w:rPr>
              <w:br/>
              <w:t xml:space="preserve">2、加厚款黄铜陶瓷阀芯，紧固的六角锌合金双手柄，不易松动。</w:t>
            </w:r>
            <w:r>
              <w:rPr>
                <w:rFonts w:hint="eastAsia"/>
                <w:sz w:val="20"/>
                <w:szCs w:val="20"/>
              </w:rPr>
              <w:br/>
              <w:t xml:space="preserve">3、黄铜水嘴，304 钢丝节能起泡器，两侧留有钳口位，堵塞便捷更换。</w:t>
            </w:r>
            <w:r>
              <w:rPr>
                <w:rFonts w:hint="eastAsia"/>
                <w:sz w:val="20"/>
                <w:szCs w:val="20"/>
              </w:rPr>
              <w:br/>
              <w:t xml:space="preserve">4、具备长时间使用防止主体松动特制工艺，采用优质丁晴胶耐磨防漏。</w:t>
            </w:r>
            <w:r>
              <w:rPr>
                <w:rFonts w:hint="eastAsia"/>
                <w:sz w:val="20"/>
                <w:szCs w:val="20"/>
              </w:rPr>
              <w:br/>
              <w:t xml:space="preserve">5、适于安装在商业厨房炉灶的使用。</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只</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5</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val="false"/>
          </w:tcPr>
          <w:p>
            <w:pPr>
              <w:rPr>
                <w:rFonts w:hint="eastAsia"/>
                <w:sz w:val="20"/>
                <w:szCs w:val="20"/>
              </w:rPr>
            </w:pPr>
            <w:r>
              <w:rPr>
                <w:rFonts w:hint="eastAsia"/>
                <w:sz w:val="20"/>
                <w:szCs w:val="20"/>
              </w:rPr>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sz w:val="20"/>
                <w:szCs w:val="20"/>
              </w:rPr>
            </w:pPr>
            <w:r>
              <w:rPr>
                <w:rFonts w:hint="eastAsia"/>
                <w:sz w:val="20"/>
                <w:szCs w:val="20"/>
              </w:rPr>
              <w:t xml:space="preserve">用于双头大锅灶</w:t>
            </w:r>
            <w:r/>
          </w:p>
        </w:tc>
      </w:tr>
      <w:tr>
        <w:trPr>
          <w:trHeight w:val="1620"/>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72</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摇摆水龙头3</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val="false"/>
          </w:tcPr>
          <w:p>
            <w:pP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1、单孔主体黄铜铸造，表面抛光铜镍铬处理。</w:t>
            </w:r>
            <w:r>
              <w:rPr>
                <w:rFonts w:hint="eastAsia"/>
                <w:sz w:val="20"/>
                <w:szCs w:val="20"/>
              </w:rPr>
              <w:br/>
              <w:t xml:space="preserve">2、加厚款黄铜陶瓷阀芯，紧固的六角锌合金双手柄，不易松动。</w:t>
            </w:r>
            <w:r>
              <w:rPr>
                <w:rFonts w:hint="eastAsia"/>
                <w:sz w:val="20"/>
                <w:szCs w:val="20"/>
              </w:rPr>
              <w:br/>
              <w:t xml:space="preserve">3、黄铜水嘴，304 钢丝节能起泡器，两侧留有钳口位，堵塞便捷更换。</w:t>
            </w:r>
            <w:r>
              <w:rPr>
                <w:rFonts w:hint="eastAsia"/>
                <w:sz w:val="20"/>
                <w:szCs w:val="20"/>
              </w:rPr>
              <w:br/>
              <w:t xml:space="preserve">4、具备长时间使用防止主体松动特制工艺，采用优质丁晴胶耐磨防漏。</w:t>
            </w:r>
            <w:r>
              <w:rPr>
                <w:rFonts w:hint="eastAsia"/>
                <w:sz w:val="20"/>
                <w:szCs w:val="20"/>
              </w:rPr>
              <w:br/>
              <w:t xml:space="preserve">5、适于安装在商业厨房炉灶的使用。</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只</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3</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val="false"/>
          </w:tcPr>
          <w:p>
            <w:pPr>
              <w:rPr>
                <w:rFonts w:hint="eastAsia"/>
                <w:sz w:val="20"/>
                <w:szCs w:val="20"/>
              </w:rPr>
            </w:pPr>
            <w:r>
              <w:rPr>
                <w:rFonts w:hint="eastAsia"/>
                <w:sz w:val="20"/>
                <w:szCs w:val="20"/>
              </w:rPr>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sz w:val="20"/>
                <w:szCs w:val="20"/>
              </w:rPr>
            </w:pPr>
            <w:r>
              <w:rPr>
                <w:rFonts w:hint="eastAsia"/>
                <w:sz w:val="20"/>
                <w:szCs w:val="20"/>
              </w:rPr>
              <w:t xml:space="preserve">用于双头单尾炒灶</w:t>
            </w:r>
            <w:r/>
          </w:p>
        </w:tc>
      </w:tr>
      <w:tr>
        <w:trPr>
          <w:trHeight w:val="1620"/>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73</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摇摆水龙头4</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val="false"/>
          </w:tcPr>
          <w:p>
            <w:pP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1、单孔主体黄铜铸造，表面抛光铜镍铬处理。</w:t>
            </w:r>
            <w:r>
              <w:rPr>
                <w:rFonts w:hint="eastAsia"/>
                <w:sz w:val="20"/>
                <w:szCs w:val="20"/>
              </w:rPr>
              <w:br/>
              <w:t xml:space="preserve">2、加厚款黄铜陶瓷阀芯，紧固的六角锌合金双手柄，不易松动。</w:t>
            </w:r>
            <w:r>
              <w:rPr>
                <w:rFonts w:hint="eastAsia"/>
                <w:sz w:val="20"/>
                <w:szCs w:val="20"/>
              </w:rPr>
              <w:br/>
              <w:t xml:space="preserve">3、黄铜水嘴，304 钢丝节能起泡器，两侧留有钳口位，堵塞便捷更换。</w:t>
            </w:r>
            <w:r>
              <w:rPr>
                <w:rFonts w:hint="eastAsia"/>
                <w:sz w:val="20"/>
                <w:szCs w:val="20"/>
              </w:rPr>
              <w:br/>
              <w:t xml:space="preserve">4、具备长时间使用防止主体松动特制工艺，采用优质丁晴胶耐磨防漏。</w:t>
            </w:r>
            <w:r>
              <w:rPr>
                <w:rFonts w:hint="eastAsia"/>
                <w:sz w:val="20"/>
                <w:szCs w:val="20"/>
              </w:rPr>
              <w:br/>
              <w:t xml:space="preserve">5、适于安装在商业厨房炉灶的使用。</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只</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3</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val="false"/>
          </w:tcPr>
          <w:p>
            <w:pPr>
              <w:rPr>
                <w:rFonts w:hint="eastAsia"/>
                <w:sz w:val="20"/>
                <w:szCs w:val="20"/>
              </w:rPr>
            </w:pPr>
            <w:r>
              <w:rPr>
                <w:rFonts w:hint="eastAsia"/>
                <w:sz w:val="20"/>
                <w:szCs w:val="20"/>
              </w:rPr>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sz w:val="20"/>
                <w:szCs w:val="20"/>
              </w:rPr>
            </w:pPr>
            <w:r>
              <w:rPr>
                <w:rFonts w:hint="eastAsia"/>
                <w:sz w:val="20"/>
                <w:szCs w:val="20"/>
              </w:rPr>
              <w:t xml:space="preserve">用于双头双尾炒灶</w:t>
            </w:r>
            <w:r/>
          </w:p>
        </w:tc>
      </w:tr>
      <w:tr>
        <w:trPr>
          <w:trHeight w:val="1620"/>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74</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摇摆水龙头5</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val="false"/>
          </w:tcPr>
          <w:p>
            <w:pP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1、单孔主体黄铜铸造，表面抛光铜镍铬处理。</w:t>
            </w:r>
            <w:r>
              <w:rPr>
                <w:rFonts w:hint="eastAsia"/>
                <w:sz w:val="20"/>
                <w:szCs w:val="20"/>
              </w:rPr>
              <w:br/>
              <w:t xml:space="preserve">2、加厚款黄铜陶瓷阀芯，紧固的六角锌合金双手柄，不易松动。</w:t>
            </w:r>
            <w:r>
              <w:rPr>
                <w:rFonts w:hint="eastAsia"/>
                <w:sz w:val="20"/>
                <w:szCs w:val="20"/>
              </w:rPr>
              <w:br/>
              <w:t xml:space="preserve">3、黄铜水嘴，304 钢丝节能起泡器，两侧留有钳口位，堵塞便捷更换。</w:t>
            </w:r>
            <w:r>
              <w:rPr>
                <w:rFonts w:hint="eastAsia"/>
                <w:sz w:val="20"/>
                <w:szCs w:val="20"/>
              </w:rPr>
              <w:br/>
              <w:t xml:space="preserve">4、具备长时间使用防止主体松动特制工艺，采用优质丁晴胶耐磨防漏。</w:t>
            </w:r>
            <w:r>
              <w:rPr>
                <w:rFonts w:hint="eastAsia"/>
                <w:sz w:val="20"/>
                <w:szCs w:val="20"/>
              </w:rPr>
              <w:br/>
              <w:t xml:space="preserve">5、适于安装在商业厨房炉灶的使用。</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只</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1</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val="false"/>
          </w:tcPr>
          <w:p>
            <w:pPr>
              <w:rPr>
                <w:rFonts w:hint="eastAsia"/>
                <w:sz w:val="20"/>
                <w:szCs w:val="20"/>
              </w:rPr>
            </w:pPr>
            <w:r>
              <w:rPr>
                <w:rFonts w:hint="eastAsia"/>
                <w:sz w:val="20"/>
                <w:szCs w:val="20"/>
              </w:rPr>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sz w:val="20"/>
                <w:szCs w:val="20"/>
              </w:rPr>
            </w:pPr>
            <w:r>
              <w:rPr>
                <w:rFonts w:hint="eastAsia"/>
                <w:sz w:val="20"/>
                <w:szCs w:val="20"/>
              </w:rPr>
              <w:t xml:space="preserve">用于小炒连大锅灶</w:t>
            </w:r>
            <w:r/>
          </w:p>
        </w:tc>
      </w:tr>
      <w:tr>
        <w:trPr>
          <w:trHeight w:val="705"/>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b/>
                <w:bCs/>
                <w:sz w:val="20"/>
                <w:szCs w:val="20"/>
              </w:rPr>
            </w:pPr>
            <w:r>
              <w:rPr>
                <w:rFonts w:hint="eastAsia"/>
                <w:b/>
                <w:bCs/>
                <w:sz w:val="20"/>
                <w:szCs w:val="20"/>
              </w:rPr>
              <w:t xml:space="preserve">六</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b/>
                <w:bCs/>
                <w:sz w:val="20"/>
                <w:szCs w:val="20"/>
              </w:rPr>
            </w:pPr>
            <w:r>
              <w:rPr>
                <w:rFonts w:hint="eastAsia"/>
                <w:b/>
                <w:bCs/>
                <w:sz w:val="20"/>
                <w:szCs w:val="20"/>
              </w:rPr>
              <w:t xml:space="preserve">净水器</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sz w:val="20"/>
                <w:szCs w:val="20"/>
              </w:rPr>
            </w:pPr>
            <w:r>
              <w:rPr>
                <w:rFonts w:hint="eastAsia"/>
                <w:sz w:val="20"/>
                <w:szCs w:val="20"/>
              </w:rPr>
              <w:t xml:space="preserve">　</w:t>
            </w:r>
            <w:r/>
          </w:p>
        </w:tc>
      </w:tr>
      <w:tr>
        <w:trPr>
          <w:trHeight w:val="2460"/>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75</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净水器</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1、出水速度：≥6L/min；</w:t>
            </w:r>
            <w:r>
              <w:rPr>
                <w:rFonts w:hint="eastAsia"/>
                <w:sz w:val="20"/>
                <w:szCs w:val="20"/>
              </w:rPr>
              <w:br/>
              <w:t xml:space="preserve">2、其它性能：内胆材质食用级聚合物，水压范围10-150psi，禁水锤；</w:t>
            </w:r>
            <w:r>
              <w:rPr>
                <w:rFonts w:hint="eastAsia"/>
                <w:sz w:val="20"/>
                <w:szCs w:val="20"/>
              </w:rPr>
              <w:br/>
              <w:t xml:space="preserve">3、去除：沉淀物、余氯/异味、孢子包囊、抑制水垢；</w:t>
            </w:r>
            <w:r>
              <w:rPr>
                <w:rFonts w:hint="eastAsia"/>
                <w:sz w:val="20"/>
                <w:szCs w:val="20"/>
              </w:rPr>
              <w:br/>
              <w:t xml:space="preserve">4、精度：≤0.5</w:t>
            </w:r>
            <w:r>
              <w:rPr>
                <w:rFonts w:ascii="Calibri" w:hAnsi="Calibri" w:cs="Calibri"/>
                <w:sz w:val="20"/>
                <w:szCs w:val="20"/>
              </w:rPr>
              <w:t xml:space="preserve">μ</w:t>
            </w:r>
            <w:r>
              <w:rPr>
                <w:rFonts w:hint="eastAsia"/>
                <w:sz w:val="20"/>
                <w:szCs w:val="20"/>
              </w:rPr>
              <w:t xml:space="preserve">m</w:t>
            </w:r>
            <w:r>
              <w:rPr>
                <w:rFonts w:hint="eastAsia"/>
                <w:sz w:val="20"/>
                <w:szCs w:val="20"/>
              </w:rPr>
              <w:br/>
              <w:t xml:space="preserve">5、温度范围：2-38℃；</w:t>
            </w:r>
            <w:r>
              <w:rPr>
                <w:rFonts w:hint="eastAsia"/>
                <w:sz w:val="20"/>
                <w:szCs w:val="20"/>
              </w:rPr>
              <w:br/>
              <w:t xml:space="preserve">6、滤芯寿命：≥30000L。</w:t>
            </w:r>
            <w:r>
              <w:rPr>
                <w:rFonts w:hint="eastAsia"/>
                <w:sz w:val="20"/>
                <w:szCs w:val="20"/>
              </w:rPr>
              <w:br/>
            </w:r>
            <w:r>
              <w:rPr>
                <w:rFonts w:hint="eastAsia"/>
                <w:color w:val="ee0000"/>
                <w:sz w:val="20"/>
                <w:szCs w:val="20"/>
              </w:rPr>
              <w:t xml:space="preserve">★</w:t>
            </w:r>
            <w:r>
              <w:rPr>
                <w:rFonts w:hint="eastAsia"/>
                <w:color w:val="ee0000"/>
                <w:sz w:val="20"/>
                <w:szCs w:val="20"/>
              </w:rPr>
              <w:t xml:space="preserve">7、</w:t>
            </w:r>
            <w:r>
              <w:rPr>
                <w:rFonts w:hint="eastAsia"/>
                <w:color w:val="ee0000"/>
                <w:sz w:val="20"/>
                <w:szCs w:val="20"/>
              </w:rPr>
              <w:t xml:space="preserve">依据GB 34914-2021净水机水效限定值及水效等级，水效等级：净水产水率1级。</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13</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540"/>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b/>
                <w:bCs/>
                <w:sz w:val="20"/>
                <w:szCs w:val="20"/>
              </w:rPr>
            </w:pPr>
            <w:r>
              <w:rPr>
                <w:rFonts w:hint="eastAsia"/>
                <w:b/>
                <w:bCs/>
                <w:sz w:val="20"/>
                <w:szCs w:val="20"/>
              </w:rPr>
              <w:t xml:space="preserve">七</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b/>
                <w:bCs/>
                <w:sz w:val="20"/>
                <w:szCs w:val="20"/>
              </w:rPr>
            </w:pPr>
            <w:r>
              <w:rPr>
                <w:rFonts w:hint="eastAsia"/>
                <w:b/>
                <w:bCs/>
                <w:sz w:val="20"/>
                <w:szCs w:val="20"/>
              </w:rPr>
              <w:t xml:space="preserve">冷库</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sz w:val="20"/>
                <w:szCs w:val="20"/>
              </w:rPr>
            </w:pPr>
            <w:r>
              <w:rPr>
                <w:rFonts w:hint="eastAsia"/>
                <w:sz w:val="20"/>
                <w:szCs w:val="20"/>
              </w:rPr>
              <w:t xml:space="preserve">　</w:t>
            </w:r>
            <w:r/>
          </w:p>
        </w:tc>
      </w:tr>
      <w:tr>
        <w:trPr>
          <w:trHeight w:val="3885"/>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76</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val="false"/>
          </w:tcPr>
          <w:p>
            <w:pPr>
              <w:rPr>
                <w:rFonts w:hint="eastAsia"/>
                <w:sz w:val="20"/>
                <w:szCs w:val="20"/>
              </w:rPr>
            </w:pPr>
            <w:r>
              <w:rPr>
                <w:rFonts w:hint="eastAsia"/>
                <w:sz w:val="20"/>
                <w:szCs w:val="20"/>
              </w:rPr>
              <w:t xml:space="preserve">下沉式冷藏库</w:t>
            </w:r>
            <w:r>
              <w:rPr>
                <w:rFonts w:hint="eastAsia"/>
                <w:sz w:val="20"/>
                <w:szCs w:val="20"/>
              </w:rPr>
              <w:br/>
              <w:t xml:space="preserve">（-1~+4℃）</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3700*5700*2600</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1、冷库板（墙板与天板）采用双面SUS304不锈钢，厚度≥0.8mm，圆角圆边，库板厚度：≥100mm；</w:t>
            </w:r>
            <w:r>
              <w:rPr>
                <w:rFonts w:hint="eastAsia"/>
                <w:sz w:val="20"/>
                <w:szCs w:val="20"/>
              </w:rPr>
              <w:br/>
              <w:t xml:space="preserve">2、库底板釆用嵌入式、与冷库外厨房地坪正负零；</w:t>
            </w:r>
            <w:r>
              <w:rPr>
                <w:rFonts w:hint="eastAsia"/>
                <w:sz w:val="20"/>
                <w:szCs w:val="20"/>
              </w:rPr>
              <w:br/>
              <w:t xml:space="preserve">3、配1套压缩机机组和冷风机组，冷库内用保温层厚≥40mm的304不锈钢双面板，分隔鸡蛋库1个，面板板厚≥1.0mm；上下循环风温控1套；门1樘；</w:t>
            </w:r>
            <w:r>
              <w:rPr>
                <w:rFonts w:hint="eastAsia"/>
                <w:sz w:val="20"/>
                <w:szCs w:val="20"/>
              </w:rPr>
              <w:br/>
              <w:t xml:space="preserve">4、库板系统对化学品稳定而且达到国家洁净卫生标准，库内外表面平整光滑，接口严密；</w:t>
            </w:r>
            <w:r>
              <w:rPr>
                <w:rFonts w:hint="eastAsia"/>
                <w:sz w:val="20"/>
                <w:szCs w:val="20"/>
              </w:rPr>
              <w:br/>
              <w:t xml:space="preserve">5、自动回归扫地门，门锁为安全式门锁，以保证冷库内的人在门上锁后亦可推出，门框需装有发热线，以防结露，自带过热保护装置，温度控制在65℃，当超过时会自动断开，防止门框温度过高而导致库门密封胶条发热变形，确保库门的气密性，门框发热线凹槽为可拆卸式，方便发热线更换；</w:t>
            </w:r>
            <w:r>
              <w:rPr>
                <w:rFonts w:hint="eastAsia"/>
                <w:sz w:val="20"/>
                <w:szCs w:val="20"/>
              </w:rPr>
              <w:br/>
              <w:t xml:space="preserve">6、冷库库板与库板的连接使用定制凸轮式偏心勾锁快速自锁扣安装，凸轮钩锁采用锌合金转轴，凸轮式偏心勾锁的拉力达到1.5 kPa以上，确保多次旋转也不会失去钩锁功能；每块库板的凸轮式偏心勾锁的数量定义为，长端每间隔800mm/个、宽端每间隔590mm/个。</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座</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1</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sz w:val="20"/>
                <w:szCs w:val="20"/>
              </w:rPr>
            </w:pPr>
            <w:r>
              <w:rPr>
                <w:rFonts w:hint="eastAsia"/>
                <w:sz w:val="20"/>
                <w:szCs w:val="20"/>
              </w:rPr>
              <w:t xml:space="preserve">　</w:t>
            </w:r>
            <w:r/>
          </w:p>
        </w:tc>
      </w:tr>
      <w:tr>
        <w:trPr>
          <w:trHeight w:val="3090"/>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77</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val="false"/>
          </w:tcPr>
          <w:p>
            <w:pPr>
              <w:rPr>
                <w:rFonts w:hint="eastAsia"/>
                <w:sz w:val="20"/>
                <w:szCs w:val="20"/>
              </w:rPr>
            </w:pPr>
            <w:r>
              <w:rPr>
                <w:rFonts w:hint="eastAsia"/>
                <w:sz w:val="20"/>
                <w:szCs w:val="20"/>
              </w:rPr>
              <w:t xml:space="preserve">下沉式冷冻库</w:t>
            </w:r>
            <w:r>
              <w:rPr>
                <w:rFonts w:hint="eastAsia"/>
                <w:sz w:val="20"/>
                <w:szCs w:val="20"/>
              </w:rPr>
              <w:br/>
              <w:t xml:space="preserve">（-25~-15℃）</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6600*5700*2600</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1、冷库板（墙板与天板）采用双面SUS304不锈钢，厚度≥0.8mm，圆角圆边，库板厚度：≥100mm；</w:t>
            </w:r>
            <w:r>
              <w:rPr>
                <w:rFonts w:hint="eastAsia"/>
                <w:sz w:val="20"/>
                <w:szCs w:val="20"/>
              </w:rPr>
              <w:br/>
              <w:t xml:space="preserve">2、库底板釆用嵌入式、与冷库外厨房地坪正负零；</w:t>
            </w:r>
            <w:r>
              <w:rPr>
                <w:rFonts w:hint="eastAsia"/>
                <w:sz w:val="20"/>
                <w:szCs w:val="20"/>
              </w:rPr>
              <w:br/>
              <w:t xml:space="preserve">3、配1套压缩机机组和冷风机组；</w:t>
            </w:r>
            <w:r>
              <w:rPr>
                <w:rFonts w:hint="eastAsia"/>
                <w:sz w:val="20"/>
                <w:szCs w:val="20"/>
              </w:rPr>
              <w:br/>
              <w:t xml:space="preserve">4、库板系统对化学品稳定而且达到国家洁净卫生标准，库内外表面平整光滑，接口严密；</w:t>
            </w:r>
            <w:r>
              <w:rPr>
                <w:rFonts w:hint="eastAsia"/>
                <w:sz w:val="20"/>
                <w:szCs w:val="20"/>
              </w:rPr>
              <w:br/>
              <w:t xml:space="preserve">5、自动回归扫地门，门锁为安全式门锁，以保证冷库内的人在门上锁后亦可推出，门框需装有发热线以防结露，自带过热保护装置，温度控制在65℃，当超过时会自动断开，防止门框温度过高</w:t>
            </w:r>
            <w:r>
              <w:rPr>
                <w:rFonts w:hint="eastAsia"/>
                <w:sz w:val="20"/>
                <w:szCs w:val="20"/>
              </w:rPr>
              <w:t xml:space="preserve">而导致库门密封胶条发热变形，确保库门的气密性，门框发热线凹槽为可拆卸式，方便发热线更换；</w:t>
            </w:r>
            <w:r>
              <w:rPr>
                <w:rFonts w:hint="eastAsia"/>
                <w:sz w:val="20"/>
                <w:szCs w:val="20"/>
              </w:rPr>
              <w:br/>
              <w:t xml:space="preserve">6、冷库库板与库板的连接使用定制凸轮式偏心勾锁快速自锁扣安装，凸轮钩锁采用锌合金转轴，凸轮式偏心勾锁的拉力达到1.5 kPa以上，确保多次旋转也不会失去钩锁功能；每块库板的凸轮式偏心勾锁的数量定义为：长端每间隔800mm/个、宽端每间隔590mm/个；</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座</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1</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sz w:val="20"/>
                <w:szCs w:val="20"/>
              </w:rPr>
            </w:pPr>
            <w:r>
              <w:rPr>
                <w:rFonts w:hint="eastAsia"/>
                <w:sz w:val="20"/>
                <w:szCs w:val="20"/>
              </w:rPr>
              <w:t xml:space="preserve">　</w:t>
            </w:r>
            <w:r/>
          </w:p>
        </w:tc>
      </w:tr>
      <w:tr>
        <w:trPr>
          <w:trHeight w:val="540"/>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b/>
                <w:bCs/>
                <w:sz w:val="20"/>
                <w:szCs w:val="20"/>
              </w:rPr>
            </w:pPr>
            <w:r>
              <w:rPr>
                <w:rFonts w:hint="eastAsia"/>
                <w:b/>
                <w:bCs/>
                <w:sz w:val="20"/>
                <w:szCs w:val="20"/>
              </w:rPr>
              <w:t xml:space="preserve">八</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b/>
                <w:bCs/>
                <w:sz w:val="20"/>
                <w:szCs w:val="20"/>
              </w:rPr>
            </w:pPr>
            <w:r>
              <w:rPr>
                <w:rFonts w:hint="eastAsia"/>
                <w:b/>
                <w:bCs/>
                <w:sz w:val="20"/>
                <w:szCs w:val="20"/>
              </w:rPr>
              <w:t xml:space="preserve">消毒柜</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sz w:val="20"/>
                <w:szCs w:val="20"/>
              </w:rPr>
            </w:pPr>
            <w:r>
              <w:rPr>
                <w:rFonts w:hint="eastAsia"/>
                <w:sz w:val="20"/>
                <w:szCs w:val="20"/>
              </w:rPr>
              <w:t xml:space="preserve">　</w:t>
            </w:r>
            <w:r/>
          </w:p>
        </w:tc>
      </w:tr>
      <w:tr>
        <w:trPr>
          <w:trHeight w:val="2112"/>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78</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刀具消毒柜</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val="false"/>
          </w:tcPr>
          <w:p>
            <w:pP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1、材料为304#不锈钢板，厚度≥1.2mm；</w:t>
            </w:r>
            <w:r>
              <w:rPr>
                <w:rFonts w:hint="eastAsia"/>
                <w:sz w:val="20"/>
                <w:szCs w:val="20"/>
              </w:rPr>
              <w:br/>
              <w:t xml:space="preserve">2、配紫外线杀菌灯：≥15w；</w:t>
            </w:r>
            <w:r>
              <w:rPr>
                <w:rFonts w:hint="eastAsia"/>
                <w:sz w:val="20"/>
                <w:szCs w:val="20"/>
              </w:rPr>
              <w:br/>
              <w:t xml:space="preserve">3、配延时开关、定时器：120Min；</w:t>
            </w:r>
            <w:r>
              <w:rPr>
                <w:rFonts w:hint="eastAsia"/>
                <w:sz w:val="20"/>
                <w:szCs w:val="20"/>
              </w:rPr>
              <w:br/>
              <w:t xml:space="preserve">4、配防紫外线茶色玻璃、透明有机玻璃刀架；</w:t>
            </w:r>
            <w:r>
              <w:rPr>
                <w:rFonts w:hint="eastAsia"/>
                <w:sz w:val="20"/>
                <w:szCs w:val="20"/>
              </w:rPr>
              <w:br/>
              <w:t xml:space="preserve">5、箱内可放置≥10把刀具，内置保护罩汞蒸汽灯，安全保护、消毒杀菌功能；消毒柜门由特殊熏制有机玻璃制作，刀架采用分离式并带有收集盘；设有开门停灯及120分钟时间调控，设有磁性门吸及门锁。</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9</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1082"/>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79</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val="false"/>
          </w:tcPr>
          <w:p>
            <w:pPr>
              <w:rPr>
                <w:rFonts w:hint="eastAsia"/>
                <w:sz w:val="20"/>
                <w:szCs w:val="20"/>
              </w:rPr>
            </w:pPr>
            <w:r>
              <w:rPr>
                <w:rFonts w:hint="eastAsia"/>
                <w:sz w:val="20"/>
                <w:szCs w:val="20"/>
              </w:rPr>
              <w:t xml:space="preserve">热风循环消毒柜</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val="false"/>
          </w:tcPr>
          <w:p>
            <w:pP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1、工作方式：高温热风循环；</w:t>
            </w:r>
            <w:r>
              <w:rPr>
                <w:rFonts w:hint="eastAsia"/>
                <w:sz w:val="20"/>
                <w:szCs w:val="20"/>
              </w:rPr>
              <w:br/>
              <w:t xml:space="preserve">2、门材质：不锈钢；</w:t>
            </w:r>
            <w:r>
              <w:rPr>
                <w:rFonts w:hint="eastAsia"/>
                <w:sz w:val="20"/>
                <w:szCs w:val="20"/>
              </w:rPr>
              <w:br/>
              <w:t xml:space="preserve">3、储存空间：双门单室；</w:t>
            </w:r>
            <w:r>
              <w:rPr>
                <w:rFonts w:hint="eastAsia"/>
                <w:sz w:val="20"/>
                <w:szCs w:val="20"/>
              </w:rPr>
              <w:br/>
              <w:t xml:space="preserve">4、外壳材质：SUS304 不锈钢；</w:t>
            </w:r>
            <w:r>
              <w:rPr>
                <w:rFonts w:hint="eastAsia"/>
                <w:sz w:val="20"/>
                <w:szCs w:val="20"/>
              </w:rPr>
              <w:br/>
              <w:t xml:space="preserve">5、功率(W)： ≥3250W；</w:t>
            </w:r>
            <w:r>
              <w:rPr>
                <w:rFonts w:hint="eastAsia"/>
                <w:sz w:val="20"/>
                <w:szCs w:val="20"/>
              </w:rPr>
              <w:br/>
              <w:t xml:space="preserve">6、容积(L)：≥850L；</w:t>
            </w:r>
            <w:r>
              <w:rPr>
                <w:rFonts w:hint="eastAsia"/>
                <w:sz w:val="20"/>
                <w:szCs w:val="20"/>
              </w:rPr>
              <w:br/>
              <w:t xml:space="preserve">7、热风循环高温消毒,使内部消毒温度更均匀,采用温控器和超温熔断器双重保护；</w:t>
            </w:r>
            <w:r>
              <w:rPr>
                <w:rFonts w:hint="eastAsia"/>
                <w:sz w:val="20"/>
                <w:szCs w:val="20"/>
              </w:rPr>
              <w:br/>
              <w:t xml:space="preserve">8、机身边缘转折处圆滑处理；</w:t>
            </w:r>
            <w:r>
              <w:rPr>
                <w:rFonts w:hint="eastAsia"/>
                <w:sz w:val="20"/>
                <w:szCs w:val="20"/>
              </w:rPr>
              <w:br/>
              <w:t xml:space="preserve">9、变频消毒、延时循环功能；</w:t>
            </w:r>
            <w:r>
              <w:rPr>
                <w:rFonts w:hint="eastAsia"/>
                <w:sz w:val="20"/>
                <w:szCs w:val="20"/>
              </w:rPr>
              <w:br/>
              <w:t xml:space="preserve">10、使用304加热器件，防水、防锈经久耐用；</w:t>
            </w:r>
            <w:r>
              <w:rPr>
                <w:rFonts w:hint="eastAsia"/>
                <w:sz w:val="20"/>
                <w:szCs w:val="20"/>
              </w:rPr>
              <w:br/>
              <w:t xml:space="preserve">11、智能触摸控制屏，可定时、定温预约消毒、一键式启动操作简单；</w:t>
            </w:r>
            <w:r>
              <w:rPr>
                <w:rFonts w:hint="eastAsia"/>
                <w:sz w:val="20"/>
                <w:szCs w:val="20"/>
              </w:rPr>
              <w:br/>
            </w:r>
            <w:r>
              <w:rPr>
                <w:rFonts w:hint="eastAsia"/>
                <w:sz w:val="20"/>
                <w:szCs w:val="20"/>
              </w:rPr>
              <w:t xml:space="preserve">12、采用工程学双连紧扣把手方便操作的同时彻底解决高温环境下磁吸消磁导致的关门故障。</w:t>
            </w:r>
            <w:r>
              <w:rPr>
                <w:rFonts w:hint="eastAsia"/>
                <w:sz w:val="20"/>
                <w:szCs w:val="20"/>
              </w:rPr>
              <w:br/>
            </w:r>
            <w:r>
              <w:rPr>
                <w:rFonts w:hint="eastAsia"/>
                <w:color w:val="ee0000"/>
                <w:sz w:val="20"/>
                <w:szCs w:val="20"/>
              </w:rPr>
              <w:t xml:space="preserve">★13、依据GB 17988-2008《食具消毒柜安全和卫生要求》：消毒效果等级达到二星级。</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4</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540"/>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b/>
                <w:bCs/>
                <w:sz w:val="20"/>
                <w:szCs w:val="20"/>
              </w:rPr>
            </w:pPr>
            <w:r>
              <w:rPr>
                <w:rFonts w:hint="eastAsia"/>
                <w:b/>
                <w:bCs/>
                <w:sz w:val="20"/>
                <w:szCs w:val="20"/>
              </w:rPr>
              <w:t xml:space="preserve">九</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b/>
                <w:bCs/>
                <w:sz w:val="20"/>
                <w:szCs w:val="20"/>
              </w:rPr>
            </w:pPr>
            <w:r>
              <w:rPr>
                <w:rFonts w:hint="eastAsia"/>
                <w:b/>
                <w:bCs/>
                <w:sz w:val="20"/>
                <w:szCs w:val="20"/>
              </w:rPr>
              <w:t xml:space="preserve">其他</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sz w:val="20"/>
                <w:szCs w:val="20"/>
              </w:rPr>
            </w:pPr>
            <w:r>
              <w:rPr>
                <w:rFonts w:hint="eastAsia"/>
                <w:sz w:val="20"/>
                <w:szCs w:val="20"/>
              </w:rPr>
              <w:t xml:space="preserve">　</w:t>
            </w:r>
            <w:r/>
          </w:p>
        </w:tc>
      </w:tr>
      <w:tr>
        <w:trPr>
          <w:trHeight w:val="1110"/>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80</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挂墙单层架1</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3600*300</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1、采用SUS304不锈钢，板厚≥1.2mm；</w:t>
            </w:r>
            <w:r>
              <w:rPr>
                <w:rFonts w:hint="eastAsia"/>
                <w:sz w:val="20"/>
                <w:szCs w:val="20"/>
              </w:rPr>
              <w:br/>
              <w:t xml:space="preserve">2、立柱采用38*38mm，厚度≥1.5mm方管；</w:t>
            </w:r>
            <w:r>
              <w:rPr>
                <w:rFonts w:hint="eastAsia"/>
                <w:sz w:val="20"/>
                <w:szCs w:val="20"/>
              </w:rPr>
              <w:br/>
              <w:t xml:space="preserve">3、层板高40mm，层板底部加强筋支撑；</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5</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1110"/>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81</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挂墙单层架2</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3300*300</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1、采用SUS304不锈钢，板厚≥1.2mm；</w:t>
            </w:r>
            <w:r>
              <w:rPr>
                <w:rFonts w:hint="eastAsia"/>
                <w:sz w:val="20"/>
                <w:szCs w:val="20"/>
              </w:rPr>
              <w:br/>
              <w:t xml:space="preserve">2、立柱采用38*38mm，厚度≥1.5mm方管；</w:t>
            </w:r>
            <w:r>
              <w:rPr>
                <w:rFonts w:hint="eastAsia"/>
                <w:sz w:val="20"/>
                <w:szCs w:val="20"/>
              </w:rPr>
              <w:br/>
              <w:t xml:space="preserve">3、层板高40mm，层板底部加强筋支撑；</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1</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1110"/>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82</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挂墙单层架3</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3000*300</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1、采用SUS304不锈钢，板厚≥1.2mm；</w:t>
            </w:r>
            <w:r>
              <w:rPr>
                <w:rFonts w:hint="eastAsia"/>
                <w:sz w:val="20"/>
                <w:szCs w:val="20"/>
              </w:rPr>
              <w:br/>
              <w:t xml:space="preserve">2、立柱采用38*38mm，厚度≥1.5mm方管；</w:t>
            </w:r>
            <w:r>
              <w:rPr>
                <w:rFonts w:hint="eastAsia"/>
                <w:sz w:val="20"/>
                <w:szCs w:val="20"/>
              </w:rPr>
              <w:br/>
              <w:t xml:space="preserve">3、层板高40mm，层板底部加强筋支撑；</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2</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1110"/>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83</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收碗车</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850*550*900</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1、车身：采用SUS304不锈钢 厚≥1.2mm；</w:t>
            </w:r>
            <w:r>
              <w:rPr>
                <w:rFonts w:hint="eastAsia"/>
                <w:sz w:val="20"/>
                <w:szCs w:val="20"/>
              </w:rPr>
              <w:br/>
              <w:t xml:space="preserve">2、配静音万向脚轮。</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8</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3180"/>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84</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开水器带底座</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val="false"/>
          </w:tcPr>
          <w:p>
            <w:pP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1、双层水箱：容积≥105L；</w:t>
            </w:r>
            <w:r>
              <w:rPr>
                <w:rFonts w:hint="eastAsia"/>
                <w:sz w:val="20"/>
                <w:szCs w:val="20"/>
              </w:rPr>
              <w:br/>
              <w:t xml:space="preserve">2、内置防干烧系统，超高温保护、缺水断电保护；</w:t>
            </w:r>
            <w:r>
              <w:rPr>
                <w:rFonts w:hint="eastAsia"/>
                <w:sz w:val="20"/>
                <w:szCs w:val="20"/>
              </w:rPr>
              <w:br/>
              <w:t xml:space="preserve">3、功率：≥9KW；电压：380v；</w:t>
            </w:r>
            <w:r>
              <w:rPr>
                <w:rFonts w:hint="eastAsia"/>
                <w:sz w:val="20"/>
                <w:szCs w:val="20"/>
              </w:rPr>
              <w:br/>
              <w:t xml:space="preserve">4、进水方式：延时阀控制进水，水烧开后取水时不能有生水进入，防止混合水产生，电磁阀控制；</w:t>
            </w:r>
            <w:r>
              <w:rPr>
                <w:rFonts w:hint="eastAsia"/>
                <w:sz w:val="20"/>
                <w:szCs w:val="20"/>
              </w:rPr>
              <w:br/>
              <w:t xml:space="preserve">5、水咀：2个，十字导向型出水龙头，保证圆柱形直流，防止飞溅烫伤；</w:t>
            </w:r>
            <w:r>
              <w:rPr>
                <w:rFonts w:hint="eastAsia"/>
                <w:sz w:val="20"/>
                <w:szCs w:val="20"/>
              </w:rPr>
              <w:br/>
              <w:t xml:space="preserve">6、可视实时水箱水位、机械式实时温度显示；</w:t>
            </w:r>
            <w:r>
              <w:rPr>
                <w:rFonts w:hint="eastAsia"/>
                <w:sz w:val="20"/>
                <w:szCs w:val="20"/>
              </w:rPr>
              <w:br/>
              <w:t xml:space="preserve">7、材料：A、外壳采用SUS304不锈钢雪花无指纹</w:t>
            </w:r>
            <w:r>
              <w:rPr>
                <w:rFonts w:hint="eastAsia"/>
                <w:sz w:val="20"/>
                <w:szCs w:val="20"/>
              </w:rPr>
              <w:t xml:space="preserve">板，厚：≥0.8mm，B、内胆：采用SUS304不锈钢，厚：≥0.8mm。</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11</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1110"/>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85</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饼盆车</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470*620*1700</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1、主架：采用SUS304 ≥1.5mm不锈钢方管 ；     </w:t>
            </w:r>
            <w:r>
              <w:rPr>
                <w:rFonts w:hint="eastAsia"/>
                <w:sz w:val="20"/>
                <w:szCs w:val="20"/>
              </w:rPr>
              <w:br/>
              <w:t xml:space="preserve">2、横档：采用SUS304 ≥1.5mm不锈钢板；</w:t>
            </w:r>
            <w:r>
              <w:rPr>
                <w:rFonts w:hint="eastAsia"/>
                <w:sz w:val="20"/>
                <w:szCs w:val="20"/>
              </w:rPr>
              <w:br/>
              <w:t xml:space="preserve">3、脚架：采用SUS304 </w:t>
            </w:r>
            <w:r>
              <w:rPr>
                <w:rFonts w:ascii="Calibri" w:hAnsi="Calibri" w:cs="Calibri"/>
                <w:sz w:val="20"/>
                <w:szCs w:val="20"/>
              </w:rPr>
              <w:t xml:space="preserve">ф</w:t>
            </w:r>
            <w:r>
              <w:rPr>
                <w:rFonts w:hint="eastAsia"/>
                <w:sz w:val="20"/>
                <w:szCs w:val="20"/>
              </w:rPr>
              <w:t xml:space="preserve">38mm，厚度≥1.5mm定形管；配静音万向脚轮。</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2</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1110"/>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86</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面粉车</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500*600*500</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1、车身：采用SUS304不锈钢 厚≥1.2mm；</w:t>
            </w:r>
            <w:r>
              <w:rPr>
                <w:rFonts w:hint="eastAsia"/>
                <w:sz w:val="20"/>
                <w:szCs w:val="20"/>
              </w:rPr>
              <w:br/>
              <w:t xml:space="preserve">2、配静音万向脚轮。</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3</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1530"/>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87</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和面机 </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val="false"/>
          </w:tcPr>
          <w:p>
            <w:pP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1、功率：≥2.2KW，电压：380V；</w:t>
            </w:r>
            <w:r>
              <w:rPr>
                <w:rFonts w:hint="eastAsia"/>
                <w:sz w:val="20"/>
                <w:szCs w:val="20"/>
              </w:rPr>
              <w:br/>
              <w:t xml:space="preserve">2、最大和面量：≥16KG；</w:t>
            </w:r>
            <w:r>
              <w:rPr>
                <w:rFonts w:hint="eastAsia"/>
                <w:sz w:val="20"/>
                <w:szCs w:val="20"/>
              </w:rPr>
              <w:br/>
              <w:t xml:space="preserve">3、双速双动；</w:t>
            </w:r>
            <w:r>
              <w:rPr>
                <w:rFonts w:hint="eastAsia"/>
                <w:sz w:val="20"/>
                <w:szCs w:val="20"/>
              </w:rPr>
              <w:br/>
              <w:t xml:space="preserve">4、料桶采用SUS304材质。</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1</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1695"/>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88</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卧式和面机</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val="false"/>
          </w:tcPr>
          <w:p>
            <w:pP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1、功率：≥3kW，电压：380V；</w:t>
            </w:r>
            <w:r>
              <w:rPr>
                <w:rFonts w:hint="eastAsia"/>
                <w:sz w:val="20"/>
                <w:szCs w:val="20"/>
              </w:rPr>
              <w:br/>
              <w:t xml:space="preserve">2、最大和面量：≥30KG；</w:t>
            </w:r>
            <w:r>
              <w:rPr>
                <w:rFonts w:hint="eastAsia"/>
                <w:sz w:val="20"/>
                <w:szCs w:val="20"/>
              </w:rPr>
              <w:br/>
              <w:t xml:space="preserve">3、双速双动；</w:t>
            </w:r>
            <w:r>
              <w:rPr>
                <w:rFonts w:hint="eastAsia"/>
                <w:sz w:val="20"/>
                <w:szCs w:val="20"/>
              </w:rPr>
              <w:br/>
              <w:t xml:space="preserve">4、料桶采用SUS304材质。</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1</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1695"/>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89</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压面机</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val="false"/>
          </w:tcPr>
          <w:p>
            <w:pP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1、压面厚度：0.5-5mm；</w:t>
            </w:r>
            <w:r>
              <w:rPr>
                <w:rFonts w:hint="eastAsia"/>
                <w:sz w:val="20"/>
                <w:szCs w:val="20"/>
              </w:rPr>
              <w:br/>
              <w:t xml:space="preserve">2、压面宽度：≥250mm；</w:t>
            </w:r>
            <w:r>
              <w:rPr>
                <w:rFonts w:hint="eastAsia"/>
                <w:sz w:val="20"/>
                <w:szCs w:val="20"/>
              </w:rPr>
              <w:br/>
              <w:t xml:space="preserve">3、功率：≥1.5KW，电压：380V；</w:t>
            </w:r>
            <w:r>
              <w:rPr>
                <w:rFonts w:hint="eastAsia"/>
                <w:sz w:val="20"/>
                <w:szCs w:val="20"/>
              </w:rPr>
              <w:br/>
              <w:t xml:space="preserve">4、生产能力：25~30KG/H；</w:t>
            </w:r>
            <w:r>
              <w:rPr>
                <w:rFonts w:hint="eastAsia"/>
                <w:sz w:val="20"/>
                <w:szCs w:val="20"/>
              </w:rPr>
              <w:br/>
              <w:t xml:space="preserve">5、料桶采用SUS304材质。</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2</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1320"/>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90</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绞肉机</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val="false"/>
          </w:tcPr>
          <w:p>
            <w:pP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1、产量：400-600KG/H；</w:t>
            </w:r>
            <w:r>
              <w:rPr>
                <w:rFonts w:hint="eastAsia"/>
                <w:sz w:val="20"/>
                <w:szCs w:val="20"/>
              </w:rPr>
              <w:br/>
              <w:t xml:space="preserve">2、功率：≥2.2KW，电压：380V；</w:t>
            </w:r>
            <w:r>
              <w:rPr>
                <w:rFonts w:hint="eastAsia"/>
                <w:sz w:val="20"/>
                <w:szCs w:val="20"/>
              </w:rPr>
              <w:br/>
              <w:t xml:space="preserve">3、绞盘：6/8mm。</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1</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1695"/>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91</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搅拌机</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val="false"/>
          </w:tcPr>
          <w:p>
            <w:pP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1、功率：≥1.5KW，电压：380V；</w:t>
            </w:r>
            <w:r>
              <w:rPr>
                <w:rFonts w:hint="eastAsia"/>
                <w:sz w:val="20"/>
                <w:szCs w:val="20"/>
              </w:rPr>
              <w:br/>
              <w:t xml:space="preserve">2、料桶容积：≥30L；</w:t>
            </w:r>
            <w:r>
              <w:rPr>
                <w:rFonts w:hint="eastAsia"/>
                <w:sz w:val="20"/>
                <w:szCs w:val="20"/>
              </w:rPr>
              <w:br/>
              <w:t xml:space="preserve">3、最大和面量：≥10KG；</w:t>
            </w:r>
            <w:r>
              <w:rPr>
                <w:rFonts w:hint="eastAsia"/>
                <w:sz w:val="20"/>
                <w:szCs w:val="20"/>
              </w:rPr>
              <w:br/>
              <w:t xml:space="preserve">4、料桶采用SUS304不锈钢材质；                </w:t>
            </w:r>
            <w:r>
              <w:rPr>
                <w:rFonts w:hint="eastAsia"/>
                <w:sz w:val="20"/>
                <w:szCs w:val="20"/>
              </w:rPr>
              <w:br/>
              <w:t xml:space="preserve">5、至少三档机械变速（113/168/400r/min），球面旋转式自动防护罩，转罩停机。</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2</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1695"/>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92</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肉丝肉片机</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val="false"/>
          </w:tcPr>
          <w:p>
            <w:pP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1、能将各种鲜肉一次性切成（丝）条，丁，状；</w:t>
            </w:r>
            <w:r>
              <w:rPr>
                <w:rFonts w:hint="eastAsia"/>
                <w:sz w:val="20"/>
                <w:szCs w:val="20"/>
              </w:rPr>
              <w:br/>
              <w:t xml:space="preserve">2、整机采用SUS304不锈钢；</w:t>
            </w:r>
            <w:r>
              <w:rPr>
                <w:rFonts w:hint="eastAsia"/>
                <w:sz w:val="20"/>
                <w:szCs w:val="20"/>
              </w:rPr>
              <w:br/>
              <w:t xml:space="preserve">3、功率：≥1.1KW，电压：380V；</w:t>
            </w:r>
            <w:r>
              <w:rPr>
                <w:rFonts w:hint="eastAsia"/>
                <w:sz w:val="20"/>
                <w:szCs w:val="20"/>
              </w:rPr>
              <w:br/>
              <w:t xml:space="preserve">4、切片产量：≥500KG/H；</w:t>
            </w:r>
            <w:r>
              <w:rPr>
                <w:rFonts w:hint="eastAsia"/>
                <w:sz w:val="20"/>
                <w:szCs w:val="20"/>
              </w:rPr>
              <w:br/>
              <w:t xml:space="preserve">5、切片厚度：2~30mm。</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1</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926"/>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93</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多功能切菜机</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val="false"/>
          </w:tcPr>
          <w:p>
            <w:pP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1、成品形状：片、丝、丁；</w:t>
            </w:r>
            <w:r>
              <w:rPr>
                <w:rFonts w:hint="eastAsia"/>
                <w:sz w:val="20"/>
                <w:szCs w:val="20"/>
              </w:rPr>
              <w:br/>
              <w:t xml:space="preserve">2、叶菜部切长度：1－60mm(可调)；</w:t>
            </w:r>
            <w:r>
              <w:rPr>
                <w:rFonts w:hint="eastAsia"/>
                <w:sz w:val="20"/>
                <w:szCs w:val="20"/>
              </w:rPr>
              <w:br/>
              <w:t xml:space="preserve">3、产量：300－1000KG/H；</w:t>
            </w:r>
            <w:r>
              <w:rPr>
                <w:rFonts w:hint="eastAsia"/>
                <w:sz w:val="20"/>
                <w:szCs w:val="20"/>
              </w:rPr>
              <w:br/>
              <w:t xml:space="preserve">4、马力：1HP(切根菜部)+1/2HP(切叶菜部)+1/4HP(输送带)；</w:t>
            </w:r>
            <w:r>
              <w:rPr>
                <w:rFonts w:hint="eastAsia"/>
                <w:sz w:val="20"/>
                <w:szCs w:val="20"/>
              </w:rPr>
              <w:br/>
              <w:t xml:space="preserve">5、功率：≥1.3KW，电压：380V，皮带宽：120 mm；</w:t>
            </w:r>
            <w:r>
              <w:rPr>
                <w:rFonts w:hint="eastAsia"/>
                <w:sz w:val="20"/>
                <w:szCs w:val="20"/>
              </w:rPr>
              <w:br/>
              <w:t xml:space="preserve">6、配件：至少含大双刀1组（切叶菜部）、切丁刀盘1组、切片刀盘1个、切丝刀盘1个；</w:t>
            </w:r>
            <w:r>
              <w:rPr>
                <w:rFonts w:hint="eastAsia"/>
                <w:sz w:val="20"/>
                <w:szCs w:val="20"/>
              </w:rPr>
              <w:br/>
              <w:t xml:space="preserve">7、整机采用SUS304-2B无磁不锈钢，变频调速简单直接；</w:t>
            </w:r>
            <w:r>
              <w:rPr>
                <w:rFonts w:hint="eastAsia"/>
                <w:sz w:val="20"/>
                <w:szCs w:val="20"/>
              </w:rPr>
              <w:br/>
            </w:r>
            <w:r>
              <w:rPr>
                <w:rFonts w:hint="eastAsia"/>
                <w:sz w:val="20"/>
                <w:szCs w:val="20"/>
              </w:rPr>
              <w:t xml:space="preserve">8、将根茎类蔬菜：马铃薯、蕃薯、瓜类、竹笋、洋葱、以及叶菜类蔬菜：芹菜、大白菜、高丽菜、菠菜等蔬果类切成丁、片、丝条状。</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1</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1309"/>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94</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辊式馒头机</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4612" w:type="dxa"/>
            <w:textDirection w:val="lrTb"/>
            <w:noWrap w:val="false"/>
          </w:tcPr>
          <w:p>
            <w:pPr>
              <w:rPr>
                <w:rFonts w:hint="eastAsia"/>
                <w:sz w:val="20"/>
                <w:szCs w:val="20"/>
              </w:rPr>
            </w:pPr>
            <w:r>
              <w:rPr>
                <w:rFonts w:hint="eastAsia"/>
                <w:sz w:val="20"/>
                <w:szCs w:val="20"/>
              </w:rPr>
              <w:t xml:space="preserve">1、馒头机（采用SUS304不锈钢）；</w:t>
            </w:r>
            <w:r>
              <w:rPr>
                <w:rFonts w:hint="eastAsia"/>
                <w:sz w:val="20"/>
                <w:szCs w:val="20"/>
              </w:rPr>
              <w:br/>
              <w:t xml:space="preserve">2、电压: 380V；</w:t>
            </w:r>
            <w:r>
              <w:rPr>
                <w:rFonts w:hint="eastAsia"/>
                <w:sz w:val="20"/>
                <w:szCs w:val="20"/>
              </w:rPr>
              <w:br/>
              <w:t xml:space="preserve">3、功率: ≥3KW；</w:t>
            </w:r>
            <w:r>
              <w:rPr>
                <w:rFonts w:hint="eastAsia"/>
                <w:sz w:val="20"/>
                <w:szCs w:val="20"/>
              </w:rPr>
              <w:br/>
              <w:t xml:space="preserve">4、产量: ≥4000个/H；</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1</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1440"/>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95</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毛刷去皮机</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val="false"/>
          </w:tcPr>
          <w:p>
            <w:pP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1、适用范围：马铃薯、胡萝卜、甜菜、莲藕、甘薯、芋头、大头菜等茎类蔬果清洗去皮；</w:t>
            </w:r>
            <w:r>
              <w:rPr>
                <w:rFonts w:hint="eastAsia"/>
                <w:sz w:val="20"/>
                <w:szCs w:val="20"/>
              </w:rPr>
              <w:br/>
              <w:t xml:space="preserve">2、加工能力：300-500KG/H；</w:t>
            </w:r>
            <w:r>
              <w:rPr>
                <w:rFonts w:hint="eastAsia"/>
                <w:sz w:val="20"/>
                <w:szCs w:val="20"/>
              </w:rPr>
              <w:br/>
              <w:t xml:space="preserve">3、功率：≥1.1KW，电压：380V。</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1</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2265"/>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96</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软水机</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1、进/出水管径 1”（PT）；</w:t>
            </w:r>
            <w:r>
              <w:rPr>
                <w:rFonts w:hint="eastAsia"/>
                <w:sz w:val="20"/>
                <w:szCs w:val="20"/>
              </w:rPr>
              <w:br/>
              <w:t xml:space="preserve">2、软水流量：1.1T/H；</w:t>
            </w:r>
            <w:r>
              <w:rPr>
                <w:rFonts w:hint="eastAsia"/>
                <w:sz w:val="20"/>
                <w:szCs w:val="20"/>
              </w:rPr>
              <w:br/>
              <w:t xml:space="preserve">3、再生剂储量：≥20KG；</w:t>
            </w:r>
            <w:r>
              <w:rPr>
                <w:rFonts w:hint="eastAsia"/>
                <w:sz w:val="20"/>
                <w:szCs w:val="20"/>
              </w:rPr>
              <w:br/>
              <w:t xml:space="preserve">4、控制方式：自动控制器；</w:t>
            </w:r>
            <w:r>
              <w:rPr>
                <w:rFonts w:hint="eastAsia"/>
                <w:sz w:val="20"/>
                <w:szCs w:val="20"/>
              </w:rPr>
              <w:br/>
              <w:t xml:space="preserve">5、工作压力范围：0.15-0.35Mpa；</w:t>
            </w:r>
            <w:r>
              <w:rPr>
                <w:rFonts w:hint="eastAsia"/>
                <w:sz w:val="20"/>
                <w:szCs w:val="20"/>
              </w:rPr>
              <w:br/>
              <w:t xml:space="preserve">6、周期再生剂消耗量：1.8KG/次；</w:t>
            </w:r>
            <w:r>
              <w:rPr>
                <w:rFonts w:hint="eastAsia"/>
                <w:sz w:val="20"/>
                <w:szCs w:val="20"/>
              </w:rPr>
              <w:br/>
              <w:t xml:space="preserve">7、主机桶体：复合材料（食品级）。</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2</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2610"/>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97</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点菜柜</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1500*820*1900</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1、温度范围：0~5℃ 配全自动电子温控器；</w:t>
            </w:r>
            <w:r>
              <w:rPr>
                <w:rFonts w:hint="eastAsia"/>
                <w:sz w:val="20"/>
                <w:szCs w:val="20"/>
              </w:rPr>
              <w:br/>
              <w:t xml:space="preserve">2、制冷方式：风冷；</w:t>
            </w:r>
            <w:r>
              <w:rPr>
                <w:rFonts w:hint="eastAsia"/>
                <w:sz w:val="20"/>
                <w:szCs w:val="20"/>
              </w:rPr>
              <w:br/>
              <w:t xml:space="preserve">3、额定功率：≥950W；</w:t>
            </w:r>
            <w:r>
              <w:rPr>
                <w:rFonts w:hint="eastAsia"/>
                <w:sz w:val="20"/>
                <w:szCs w:val="20"/>
              </w:rPr>
              <w:br/>
              <w:t xml:space="preserve">4、150重力子弹脚；</w:t>
            </w:r>
            <w:r>
              <w:rPr>
                <w:rFonts w:hint="eastAsia"/>
                <w:sz w:val="20"/>
                <w:szCs w:val="20"/>
              </w:rPr>
              <w:br/>
              <w:t xml:space="preserve">5、外部材质：≥0.7mm 采用SUS304不锈钢，内部材质：≥0.7mm 采用SUS304不锈钢；</w:t>
            </w:r>
            <w:r>
              <w:rPr>
                <w:rFonts w:hint="eastAsia"/>
                <w:sz w:val="20"/>
                <w:szCs w:val="20"/>
              </w:rPr>
              <w:br/>
              <w:t xml:space="preserve">6、聚胺脂隔热保温材料≥65mm保温层；</w:t>
            </w:r>
            <w:r>
              <w:rPr>
                <w:rFonts w:hint="eastAsia"/>
                <w:sz w:val="20"/>
                <w:szCs w:val="20"/>
              </w:rPr>
              <w:br/>
              <w:t xml:space="preserve">7、制冷剂：R404a，制冷系统全铜管制造；</w:t>
            </w:r>
            <w:r>
              <w:rPr>
                <w:rFonts w:hint="eastAsia"/>
                <w:sz w:val="20"/>
                <w:szCs w:val="20"/>
              </w:rPr>
              <w:br/>
              <w:t xml:space="preserve">8、冷凝器配有易清洗更换防尘网。</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2</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1995"/>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98</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电饼铛</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val="false"/>
          </w:tcPr>
          <w:p>
            <w:pP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1、功率：≥4.8KW，电压：380V；</w:t>
            </w:r>
            <w:r>
              <w:rPr>
                <w:rFonts w:hint="eastAsia"/>
                <w:sz w:val="20"/>
                <w:szCs w:val="20"/>
              </w:rPr>
              <w:br/>
              <w:t xml:space="preserve">2、内径：≥53cm；</w:t>
            </w:r>
            <w:r>
              <w:rPr>
                <w:rFonts w:hint="eastAsia"/>
                <w:sz w:val="20"/>
                <w:szCs w:val="20"/>
              </w:rPr>
              <w:br/>
              <w:t xml:space="preserve">3、加热:电热管；</w:t>
            </w:r>
            <w:r>
              <w:rPr>
                <w:rFonts w:hint="eastAsia"/>
                <w:sz w:val="20"/>
                <w:szCs w:val="20"/>
              </w:rPr>
              <w:br/>
              <w:t xml:space="preserve">4、全部采用SUS304不锈钢板，锅体采用一次拉伸锅体；</w:t>
            </w:r>
            <w:r>
              <w:rPr>
                <w:rFonts w:hint="eastAsia"/>
                <w:sz w:val="20"/>
                <w:szCs w:val="20"/>
              </w:rPr>
              <w:br/>
              <w:t xml:space="preserve">5、食品级430铸管不锈钢，加热更快更均匀；</w:t>
            </w:r>
            <w:r>
              <w:rPr>
                <w:rFonts w:hint="eastAsia"/>
                <w:sz w:val="20"/>
                <w:szCs w:val="20"/>
              </w:rPr>
              <w:br/>
              <w:t xml:space="preserve">6、操控方式采用旋钮数显温控，简便快捷，精准控温，显示温度精准，温度误差小。</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3</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1899"/>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99</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单通移门碗柜</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1200*500*1800</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1、柜体:采用SUS304 ≥1.2mm不锈钢板；</w:t>
            </w:r>
            <w:r>
              <w:rPr>
                <w:rFonts w:hint="eastAsia"/>
                <w:sz w:val="20"/>
                <w:szCs w:val="20"/>
              </w:rPr>
              <w:br/>
              <w:t xml:space="preserve">2、侧板:采用SUS304 ≥1.2mm不锈钢板；</w:t>
            </w:r>
            <w:r>
              <w:rPr>
                <w:rFonts w:hint="eastAsia"/>
                <w:sz w:val="20"/>
                <w:szCs w:val="20"/>
              </w:rPr>
              <w:br/>
              <w:t xml:space="preserve">3、层板:采用SUS304 ≥1.2mm不锈钢板；</w:t>
            </w:r>
            <w:r>
              <w:rPr>
                <w:rFonts w:hint="eastAsia"/>
                <w:sz w:val="20"/>
                <w:szCs w:val="20"/>
              </w:rPr>
              <w:br/>
              <w:t xml:space="preserve">4、移门:采用SUS304 ≥1.2mm双层不锈钢板；</w:t>
            </w:r>
            <w:r>
              <w:rPr>
                <w:rFonts w:hint="eastAsia"/>
                <w:sz w:val="20"/>
                <w:szCs w:val="20"/>
              </w:rPr>
              <w:br/>
              <w:t xml:space="preserve">5、加强筋：采用SUS304 ≥1.2mm不锈钢板；</w:t>
            </w:r>
            <w:r>
              <w:rPr>
                <w:rFonts w:hint="eastAsia"/>
                <w:sz w:val="20"/>
                <w:szCs w:val="20"/>
              </w:rPr>
              <w:br/>
              <w:t xml:space="preserve">6、不锈钢可调重型脚。</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12</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1995"/>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100</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单头矮汤炉</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600*750*500+300</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1、炉面：采用SUS304 ≥1.5mm不锈钢板；</w:t>
            </w:r>
            <w:r>
              <w:rPr>
                <w:rFonts w:hint="eastAsia"/>
                <w:sz w:val="20"/>
                <w:szCs w:val="20"/>
              </w:rPr>
              <w:br/>
              <w:t xml:space="preserve">2、围板：采用SUS304 ≥1.2mm不锈钢板；</w:t>
            </w:r>
            <w:r>
              <w:rPr>
                <w:rFonts w:hint="eastAsia"/>
                <w:sz w:val="20"/>
                <w:szCs w:val="20"/>
              </w:rPr>
              <w:br/>
              <w:t xml:space="preserve">3、炉架采用SUS304 </w:t>
            </w:r>
            <w:r>
              <w:rPr>
                <w:rFonts w:ascii="Calibri" w:hAnsi="Calibri" w:cs="Calibri"/>
                <w:sz w:val="20"/>
                <w:szCs w:val="20"/>
              </w:rPr>
              <w:t xml:space="preserve">ф</w:t>
            </w:r>
            <w:r>
              <w:rPr>
                <w:rFonts w:hint="eastAsia"/>
                <w:sz w:val="20"/>
                <w:szCs w:val="20"/>
              </w:rPr>
              <w:t xml:space="preserve">38mm，厚度≥1.5mm不锈钢管；                                                                         </w:t>
            </w:r>
            <w:r>
              <w:rPr>
                <w:rFonts w:hint="eastAsia"/>
                <w:sz w:val="20"/>
                <w:szCs w:val="20"/>
              </w:rPr>
              <w:br/>
              <w:t xml:space="preserve">4、电子点火节能炉头，带熄火保护装置，配可调子弹脚。</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5</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1995"/>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101</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val="false"/>
          </w:tcPr>
          <w:p>
            <w:pPr>
              <w:rPr>
                <w:rFonts w:hint="eastAsia"/>
                <w:sz w:val="20"/>
                <w:szCs w:val="20"/>
              </w:rPr>
            </w:pPr>
            <w:r>
              <w:rPr>
                <w:rFonts w:hint="eastAsia"/>
                <w:sz w:val="20"/>
                <w:szCs w:val="20"/>
              </w:rPr>
              <w:t xml:space="preserve">定制12格保温台</w:t>
            </w:r>
            <w:r>
              <w:rPr>
                <w:rFonts w:hint="eastAsia"/>
                <w:sz w:val="20"/>
                <w:szCs w:val="20"/>
              </w:rPr>
              <w:br/>
              <w:t xml:space="preserve">（蒸汽式)</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2200*1200*800</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1、台面：采用SUS304 ≥1.5mm不锈钢板；</w:t>
            </w:r>
            <w:r>
              <w:rPr>
                <w:rFonts w:hint="eastAsia"/>
                <w:sz w:val="20"/>
                <w:szCs w:val="20"/>
              </w:rPr>
              <w:br/>
              <w:t xml:space="preserve">2、侧板：采用SUS304 ≥1.2mm不锈钢板；</w:t>
            </w:r>
            <w:r>
              <w:rPr>
                <w:rFonts w:hint="eastAsia"/>
                <w:sz w:val="20"/>
                <w:szCs w:val="20"/>
              </w:rPr>
              <w:br/>
              <w:t xml:space="preserve">3、层板：采用SUS304 ≥1.2mm不锈钢板；</w:t>
            </w:r>
            <w:r>
              <w:rPr>
                <w:rFonts w:hint="eastAsia"/>
                <w:sz w:val="20"/>
                <w:szCs w:val="20"/>
              </w:rPr>
              <w:br/>
              <w:t xml:space="preserve">4、配吊轮；</w:t>
            </w:r>
            <w:r>
              <w:rPr>
                <w:rFonts w:hint="eastAsia"/>
                <w:sz w:val="20"/>
                <w:szCs w:val="20"/>
              </w:rPr>
              <w:br/>
              <w:t xml:space="preserve">5、加强筋：采用SUS304≥ 1.2mm不锈钢板；</w:t>
            </w:r>
            <w:r>
              <w:rPr>
                <w:rFonts w:hint="eastAsia"/>
                <w:sz w:val="20"/>
                <w:szCs w:val="20"/>
              </w:rPr>
              <w:br/>
              <w:t xml:space="preserve">6、不锈钢可调重型脚。</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10</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1479"/>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102</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定制移动周转车</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700*500*1600</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1、层板：采用SUS304 ≥1.2mm不锈钢板；</w:t>
            </w:r>
            <w:r>
              <w:rPr>
                <w:rFonts w:hint="eastAsia"/>
                <w:sz w:val="20"/>
                <w:szCs w:val="20"/>
              </w:rPr>
              <w:br/>
              <w:t xml:space="preserve">2、加强筋：采用SUS304 ≥1.2mm不锈钢板；</w:t>
            </w:r>
            <w:r>
              <w:rPr>
                <w:rFonts w:hint="eastAsia"/>
                <w:sz w:val="20"/>
                <w:szCs w:val="20"/>
              </w:rPr>
              <w:br/>
              <w:t xml:space="preserve">3、脚架：采用SUS304 </w:t>
            </w:r>
            <w:r>
              <w:rPr>
                <w:rFonts w:ascii="Calibri" w:hAnsi="Calibri" w:cs="Calibri"/>
                <w:sz w:val="20"/>
                <w:szCs w:val="20"/>
              </w:rPr>
              <w:t xml:space="preserve">ф</w:t>
            </w:r>
            <w:r>
              <w:rPr>
                <w:rFonts w:hint="eastAsia"/>
                <w:sz w:val="20"/>
                <w:szCs w:val="20"/>
              </w:rPr>
              <w:t xml:space="preserve">38mm，厚度≥1.5mm定形管；</w:t>
            </w:r>
            <w:r>
              <w:rPr>
                <w:rFonts w:hint="eastAsia"/>
                <w:sz w:val="20"/>
                <w:szCs w:val="20"/>
              </w:rPr>
              <w:br/>
              <w:t xml:space="preserve">4、配静音万向轮带刹车。</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20</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1995"/>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103</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五格保温台</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1800*700*800</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1、台面：采用SUS304 ≥1.5mm不锈钢板；</w:t>
            </w:r>
            <w:r>
              <w:rPr>
                <w:rFonts w:hint="eastAsia"/>
                <w:sz w:val="20"/>
                <w:szCs w:val="20"/>
              </w:rPr>
              <w:br/>
              <w:t xml:space="preserve">2、侧板：采用SUS304 ≥1.2mm不锈钢板；</w:t>
            </w:r>
            <w:r>
              <w:rPr>
                <w:rFonts w:hint="eastAsia"/>
                <w:sz w:val="20"/>
                <w:szCs w:val="20"/>
              </w:rPr>
              <w:br/>
              <w:t xml:space="preserve">3、层板：采用SUS304 ≥1.2mm不锈钢板；</w:t>
            </w:r>
            <w:r>
              <w:rPr>
                <w:rFonts w:hint="eastAsia"/>
                <w:sz w:val="20"/>
                <w:szCs w:val="20"/>
              </w:rPr>
              <w:br/>
              <w:t xml:space="preserve">4、SUS304不锈钢发热管；</w:t>
            </w:r>
            <w:r>
              <w:rPr>
                <w:rFonts w:hint="eastAsia"/>
                <w:sz w:val="20"/>
                <w:szCs w:val="20"/>
              </w:rPr>
              <w:br/>
              <w:t xml:space="preserve">5、功率：≥3KW；</w:t>
            </w:r>
            <w:r>
              <w:rPr>
                <w:rFonts w:hint="eastAsia"/>
                <w:sz w:val="20"/>
                <w:szCs w:val="20"/>
              </w:rPr>
              <w:br/>
              <w:t xml:space="preserve">6、加强筋：采用SUS304 ≥1.2mm不锈钢板；</w:t>
            </w:r>
            <w:r>
              <w:rPr>
                <w:rFonts w:hint="eastAsia"/>
                <w:sz w:val="20"/>
                <w:szCs w:val="20"/>
              </w:rPr>
              <w:br/>
              <w:t xml:space="preserve">7、不锈钢可调重型脚。</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9</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2625"/>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104</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val="false"/>
          </w:tcPr>
          <w:p>
            <w:pPr>
              <w:rPr>
                <w:rFonts w:hint="eastAsia"/>
                <w:sz w:val="20"/>
                <w:szCs w:val="20"/>
              </w:rPr>
            </w:pPr>
            <w:r>
              <w:rPr>
                <w:rFonts w:hint="eastAsia"/>
                <w:sz w:val="20"/>
                <w:szCs w:val="20"/>
              </w:rPr>
              <w:t xml:space="preserve">燃气可倾式夹层锅</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1、全SUS304不锈钢结构、整体封闭无死角；</w:t>
            </w:r>
            <w:r>
              <w:rPr>
                <w:rFonts w:hint="eastAsia"/>
                <w:sz w:val="20"/>
                <w:szCs w:val="20"/>
              </w:rPr>
              <w:br/>
              <w:t xml:space="preserve">2、锅体采用加厚SUS304不锈钢板模压成型；</w:t>
            </w:r>
            <w:r>
              <w:rPr>
                <w:rFonts w:hint="eastAsia"/>
                <w:sz w:val="20"/>
                <w:szCs w:val="20"/>
              </w:rPr>
              <w:br/>
              <w:t xml:space="preserve">3、内置耐热保护装置，大小火力可调，噪音低，加热速度快；</w:t>
            </w:r>
            <w:r>
              <w:rPr>
                <w:rFonts w:hint="eastAsia"/>
                <w:sz w:val="20"/>
                <w:szCs w:val="20"/>
              </w:rPr>
              <w:br/>
              <w:t xml:space="preserve">4、锅体旋转可倾、出料、清洗方便；</w:t>
            </w:r>
            <w:r>
              <w:rPr>
                <w:rFonts w:hint="eastAsia"/>
                <w:sz w:val="20"/>
                <w:szCs w:val="20"/>
              </w:rPr>
              <w:br/>
              <w:t xml:space="preserve">5、容积： ≥200L；</w:t>
            </w:r>
            <w:r>
              <w:rPr>
                <w:rFonts w:hint="eastAsia"/>
                <w:sz w:val="20"/>
                <w:szCs w:val="20"/>
              </w:rPr>
              <w:br/>
              <w:t xml:space="preserve">6、锅体厚 ≥4.0mm，其它板厚 ≥1.2mm，炉头:节能炉头，带熄火保护装置。</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3</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1995"/>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105</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val="false"/>
          </w:tcPr>
          <w:p>
            <w:pPr>
              <w:rPr>
                <w:rFonts w:hint="eastAsia"/>
                <w:sz w:val="20"/>
                <w:szCs w:val="20"/>
              </w:rPr>
            </w:pPr>
            <w:r>
              <w:rPr>
                <w:rFonts w:hint="eastAsia"/>
                <w:sz w:val="20"/>
                <w:szCs w:val="20"/>
              </w:rPr>
              <w:t xml:space="preserve">燃气双缸双筛炸炉</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val="false"/>
          </w:tcPr>
          <w:p>
            <w:pPr>
              <w:rPr>
                <w:rFonts w:hint="eastAsia"/>
                <w:sz w:val="20"/>
                <w:szCs w:val="20"/>
              </w:rPr>
            </w:pPr>
            <w:r>
              <w:rPr>
                <w:rFonts w:hint="eastAsia"/>
                <w:sz w:val="20"/>
                <w:szCs w:val="20"/>
              </w:rPr>
              <w:t xml:space="preserve">800×900×(850+90) </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1、双缸双筛；</w:t>
            </w:r>
            <w:r>
              <w:rPr>
                <w:rFonts w:hint="eastAsia"/>
                <w:sz w:val="20"/>
                <w:szCs w:val="20"/>
              </w:rPr>
              <w:br/>
              <w:t xml:space="preserve">2、容积：≥20L+20L；</w:t>
            </w:r>
            <w:r>
              <w:rPr>
                <w:rFonts w:hint="eastAsia"/>
                <w:sz w:val="20"/>
                <w:szCs w:val="20"/>
              </w:rPr>
              <w:br/>
              <w:t xml:space="preserve">3、采用SUS304不锈钢材质打造机身，强度高，韧性好；</w:t>
            </w:r>
            <w:r>
              <w:rPr>
                <w:rFonts w:hint="eastAsia"/>
                <w:sz w:val="20"/>
                <w:szCs w:val="20"/>
              </w:rPr>
              <w:br/>
              <w:t xml:space="preserve">4、SUS304不锈钢多环大热管，高效能发热管，升温快速；</w:t>
            </w:r>
            <w:r>
              <w:rPr>
                <w:rFonts w:hint="eastAsia"/>
                <w:sz w:val="20"/>
                <w:szCs w:val="20"/>
              </w:rPr>
              <w:br/>
              <w:t xml:space="preserve">5、不锈钢加粗镀镍炸篮，在长时间的加热油中工作，不变形损坏及生锈；</w:t>
            </w:r>
            <w:r>
              <w:rPr>
                <w:rFonts w:hint="eastAsia"/>
                <w:sz w:val="20"/>
                <w:szCs w:val="20"/>
              </w:rPr>
              <w:br/>
              <w:t xml:space="preserve">6、智能温控器，简单操作，限温操作安全，便捷。</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1</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1995"/>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106</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燃气煮面桶</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670*670*900</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1、容积：≥170L；</w:t>
            </w:r>
            <w:r>
              <w:rPr>
                <w:rFonts w:hint="eastAsia"/>
                <w:sz w:val="20"/>
                <w:szCs w:val="20"/>
              </w:rPr>
              <w:br/>
              <w:t xml:space="preserve">2、机身采用不锈钢，不易生锈、耐腐蚀、易清洗；</w:t>
            </w:r>
            <w:r>
              <w:rPr>
                <w:rFonts w:hint="eastAsia"/>
                <w:sz w:val="20"/>
                <w:szCs w:val="20"/>
              </w:rPr>
              <w:br/>
              <w:t xml:space="preserve">3、不锈钢排水口，紧密排水不外漏；</w:t>
            </w:r>
            <w:r>
              <w:rPr>
                <w:rFonts w:hint="eastAsia"/>
                <w:sz w:val="20"/>
                <w:szCs w:val="20"/>
              </w:rPr>
              <w:br/>
              <w:t xml:space="preserve">4、有效快速排出蒸汽煮面快 节能省时；</w:t>
            </w:r>
            <w:r>
              <w:rPr>
                <w:rFonts w:hint="eastAsia"/>
                <w:sz w:val="20"/>
                <w:szCs w:val="20"/>
              </w:rPr>
              <w:br/>
              <w:t xml:space="preserve">5、加固调节脚，更加稳固机身，调节高度，适应不平地面。</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4</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1680"/>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107</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立式电炸炉</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1000*500*800</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1、采用SUS304不锈钢板；厚度≥1.2mm；</w:t>
            </w:r>
            <w:r>
              <w:rPr>
                <w:rFonts w:hint="eastAsia"/>
                <w:sz w:val="20"/>
                <w:szCs w:val="20"/>
              </w:rPr>
              <w:br/>
              <w:t xml:space="preserve">2、控制开关：万向旋钮式磁控或推拉式开关；</w:t>
            </w:r>
            <w:r>
              <w:rPr>
                <w:rFonts w:hint="eastAsia"/>
                <w:sz w:val="20"/>
                <w:szCs w:val="20"/>
              </w:rPr>
              <w:br/>
              <w:t xml:space="preserve">3、精准温控，超温安全保护装置，内胆一次成型；</w:t>
            </w:r>
            <w:r>
              <w:rPr>
                <w:rFonts w:hint="eastAsia"/>
                <w:sz w:val="20"/>
                <w:szCs w:val="20"/>
              </w:rPr>
              <w:br/>
              <w:t xml:space="preserve">4、功率：≥12KW，电压380V。</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1</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1995"/>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108</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六头煲仔炉</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1000*760*800+150</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1、炉面：采用SUS304 ≥1.5mm不锈钢板；</w:t>
            </w:r>
            <w:r>
              <w:rPr>
                <w:rFonts w:hint="eastAsia"/>
                <w:sz w:val="20"/>
                <w:szCs w:val="20"/>
              </w:rPr>
              <w:br/>
              <w:t xml:space="preserve">2、围板：采用SUS304 ≥1.2mm不锈钢板；</w:t>
            </w:r>
            <w:r>
              <w:rPr>
                <w:rFonts w:hint="eastAsia"/>
                <w:sz w:val="20"/>
                <w:szCs w:val="20"/>
              </w:rPr>
              <w:br/>
              <w:t xml:space="preserve">3、采用SUS304 </w:t>
            </w:r>
            <w:r>
              <w:rPr>
                <w:rFonts w:ascii="Calibri" w:hAnsi="Calibri" w:cs="Calibri"/>
                <w:sz w:val="20"/>
                <w:szCs w:val="20"/>
              </w:rPr>
              <w:t xml:space="preserve">ф</w:t>
            </w:r>
            <w:r>
              <w:rPr>
                <w:rFonts w:hint="eastAsia"/>
                <w:sz w:val="20"/>
                <w:szCs w:val="20"/>
              </w:rPr>
              <w:t xml:space="preserve">38mm，厚度≥1.5mm不锈钢管；</w:t>
            </w:r>
            <w:r>
              <w:rPr>
                <w:rFonts w:hint="eastAsia"/>
                <w:sz w:val="20"/>
                <w:szCs w:val="20"/>
              </w:rPr>
              <w:br/>
              <w:t xml:space="preserve">4、采用6″文华炉头*6；</w:t>
            </w:r>
            <w:r>
              <w:rPr>
                <w:rFonts w:hint="eastAsia"/>
                <w:sz w:val="20"/>
                <w:szCs w:val="20"/>
              </w:rPr>
              <w:br/>
              <w:t xml:space="preserve">5、带熄火保护装置；</w:t>
            </w:r>
            <w:r>
              <w:rPr>
                <w:rFonts w:hint="eastAsia"/>
                <w:sz w:val="20"/>
                <w:szCs w:val="20"/>
              </w:rPr>
              <w:br/>
              <w:t xml:space="preserve">6、优质专用燃气阀门；</w:t>
            </w:r>
            <w:r>
              <w:rPr>
                <w:rFonts w:hint="eastAsia"/>
                <w:sz w:val="20"/>
                <w:szCs w:val="20"/>
              </w:rPr>
              <w:br/>
              <w:t xml:space="preserve">7、配可调子弹脚；</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5</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1995"/>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109</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双头矮汤炉</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1100*750*500+300</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1、炉面：采用SUS304 ≥1.5mm不锈钢板；</w:t>
            </w:r>
            <w:r>
              <w:rPr>
                <w:rFonts w:hint="eastAsia"/>
                <w:sz w:val="20"/>
                <w:szCs w:val="20"/>
              </w:rPr>
              <w:br/>
              <w:t xml:space="preserve">2、围板：采用SUS304 ≥1.2mm不锈钢板；</w:t>
            </w:r>
            <w:r>
              <w:rPr>
                <w:rFonts w:hint="eastAsia"/>
                <w:sz w:val="20"/>
                <w:szCs w:val="20"/>
              </w:rPr>
              <w:br/>
              <w:t xml:space="preserve">3、炉架：采用SUS304 </w:t>
            </w:r>
            <w:r>
              <w:rPr>
                <w:rFonts w:ascii="Calibri" w:hAnsi="Calibri" w:cs="Calibri"/>
                <w:sz w:val="20"/>
                <w:szCs w:val="20"/>
              </w:rPr>
              <w:t xml:space="preserve">ф</w:t>
            </w:r>
            <w:r>
              <w:rPr>
                <w:rFonts w:hint="eastAsia"/>
                <w:sz w:val="20"/>
                <w:szCs w:val="20"/>
              </w:rPr>
              <w:t xml:space="preserve">38mm，厚度≥1.5mm不锈钢管；</w:t>
            </w:r>
            <w:r>
              <w:rPr>
                <w:rFonts w:hint="eastAsia"/>
                <w:sz w:val="20"/>
                <w:szCs w:val="20"/>
              </w:rPr>
              <w:br/>
              <w:t xml:space="preserve">4、电子点火节能炉头，带熄火保护装置，配可调子弹脚。</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3</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1995"/>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110</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八头煲仔炉1</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1500*900*800+150</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1、炉面：采用SUS304 ≥1.5mm不锈钢板；                                  </w:t>
            </w:r>
            <w:r>
              <w:rPr>
                <w:rFonts w:hint="eastAsia"/>
                <w:sz w:val="20"/>
                <w:szCs w:val="20"/>
              </w:rPr>
              <w:br/>
              <w:t xml:space="preserve">2、围板：采用SUS304 ≥1.2mm不锈钢板；</w:t>
            </w:r>
            <w:r>
              <w:rPr>
                <w:rFonts w:hint="eastAsia"/>
                <w:sz w:val="20"/>
                <w:szCs w:val="20"/>
              </w:rPr>
              <w:br/>
              <w:t xml:space="preserve">3、炉架：采用SUS304 </w:t>
            </w:r>
            <w:r>
              <w:rPr>
                <w:rFonts w:ascii="Calibri" w:hAnsi="Calibri" w:cs="Calibri"/>
                <w:sz w:val="20"/>
                <w:szCs w:val="20"/>
              </w:rPr>
              <w:t xml:space="preserve">ф</w:t>
            </w:r>
            <w:r>
              <w:rPr>
                <w:rFonts w:hint="eastAsia"/>
                <w:sz w:val="20"/>
                <w:szCs w:val="20"/>
              </w:rPr>
              <w:t xml:space="preserve">38mm，厚度≥1.5mm不锈钢管；</w:t>
            </w:r>
            <w:r>
              <w:rPr>
                <w:rFonts w:hint="eastAsia"/>
                <w:sz w:val="20"/>
                <w:szCs w:val="20"/>
              </w:rPr>
              <w:br/>
              <w:t xml:space="preserve">4、采用6″文华炉头*8；</w:t>
            </w:r>
            <w:r>
              <w:rPr>
                <w:rFonts w:hint="eastAsia"/>
                <w:sz w:val="20"/>
                <w:szCs w:val="20"/>
              </w:rPr>
              <w:br/>
              <w:t xml:space="preserve">5、带熄火保护装置；</w:t>
            </w:r>
            <w:r>
              <w:rPr>
                <w:rFonts w:hint="eastAsia"/>
                <w:sz w:val="20"/>
                <w:szCs w:val="20"/>
              </w:rPr>
              <w:br/>
              <w:t xml:space="preserve">6、优质专用燃气阀门；</w:t>
            </w:r>
            <w:r>
              <w:rPr>
                <w:rFonts w:hint="eastAsia"/>
                <w:sz w:val="20"/>
                <w:szCs w:val="20"/>
              </w:rPr>
              <w:br/>
              <w:t xml:space="preserve">7、配可调子弹脚；</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1</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1995"/>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111</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八头煲仔炉2</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1300*760*800+150</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1、炉面：采用SUS304 ≥1.5mm不锈钢板；                                  </w:t>
            </w:r>
            <w:r>
              <w:rPr>
                <w:rFonts w:hint="eastAsia"/>
                <w:sz w:val="20"/>
                <w:szCs w:val="20"/>
              </w:rPr>
              <w:br/>
              <w:t xml:space="preserve">2、围板：采用SUS304 ≥1.2mm不锈钢板；</w:t>
            </w:r>
            <w:r>
              <w:rPr>
                <w:rFonts w:hint="eastAsia"/>
                <w:sz w:val="20"/>
                <w:szCs w:val="20"/>
              </w:rPr>
              <w:br/>
              <w:t xml:space="preserve">3、炉架：采用SUS304 </w:t>
            </w:r>
            <w:r>
              <w:rPr>
                <w:rFonts w:ascii="Calibri" w:hAnsi="Calibri" w:cs="Calibri"/>
                <w:sz w:val="20"/>
                <w:szCs w:val="20"/>
              </w:rPr>
              <w:t xml:space="preserve">ф</w:t>
            </w:r>
            <w:r>
              <w:rPr>
                <w:rFonts w:hint="eastAsia"/>
                <w:sz w:val="20"/>
                <w:szCs w:val="20"/>
              </w:rPr>
              <w:t xml:space="preserve">38mm，厚度≥1.5mm不锈钢管；</w:t>
            </w:r>
            <w:r>
              <w:rPr>
                <w:rFonts w:hint="eastAsia"/>
                <w:sz w:val="20"/>
                <w:szCs w:val="20"/>
              </w:rPr>
              <w:br/>
              <w:t xml:space="preserve">4、采用6″文华炉头*8；</w:t>
            </w:r>
            <w:r>
              <w:rPr>
                <w:rFonts w:hint="eastAsia"/>
                <w:sz w:val="20"/>
                <w:szCs w:val="20"/>
              </w:rPr>
              <w:br/>
              <w:t xml:space="preserve">5、带熄火保护装置；</w:t>
            </w:r>
            <w:r>
              <w:rPr>
                <w:rFonts w:hint="eastAsia"/>
                <w:sz w:val="20"/>
                <w:szCs w:val="20"/>
              </w:rPr>
              <w:br/>
              <w:t xml:space="preserve">6、优质专用燃气阀门；</w:t>
            </w:r>
            <w:r>
              <w:rPr>
                <w:rFonts w:hint="eastAsia"/>
                <w:sz w:val="20"/>
                <w:szCs w:val="20"/>
              </w:rPr>
              <w:br/>
              <w:t xml:space="preserve">7、配可调子弹脚；</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3</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3705"/>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112</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三层六盘钢烤箱</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val="false"/>
          </w:tcPr>
          <w:p>
            <w:pPr>
              <w:rPr>
                <w:rFonts w:hint="eastAsia"/>
                <w:sz w:val="20"/>
                <w:szCs w:val="20"/>
              </w:rPr>
            </w:pPr>
            <w:r>
              <w:rPr>
                <w:rFonts w:hint="eastAsia"/>
                <w:sz w:val="20"/>
                <w:szCs w:val="20"/>
              </w:rPr>
              <w:t xml:space="preserve">1224*866*1530</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1、电压：380V；</w:t>
            </w:r>
            <w:r>
              <w:rPr>
                <w:rFonts w:hint="eastAsia"/>
                <w:sz w:val="20"/>
                <w:szCs w:val="20"/>
              </w:rPr>
              <w:br/>
              <w:t xml:space="preserve">2、功率：≥19.8KW；</w:t>
            </w:r>
            <w:r>
              <w:rPr>
                <w:rFonts w:hint="eastAsia"/>
                <w:sz w:val="20"/>
                <w:szCs w:val="20"/>
              </w:rPr>
              <w:br/>
              <w:t xml:space="preserve">3、材质：外壳全采用SUS304不锈钢；</w:t>
            </w:r>
            <w:r>
              <w:rPr>
                <w:rFonts w:hint="eastAsia"/>
                <w:sz w:val="20"/>
                <w:szCs w:val="20"/>
              </w:rPr>
              <w:br/>
              <w:t xml:space="preserve">4、配6个烤盘，微电脑控制设计，温度、时间可精准控制，具备不少于12路菜单储存功能，可保存至少12个不同菜单，操作简便，故障率低；</w:t>
            </w:r>
            <w:r>
              <w:rPr>
                <w:rFonts w:hint="eastAsia"/>
                <w:sz w:val="20"/>
                <w:szCs w:val="20"/>
              </w:rPr>
              <w:br/>
              <w:t xml:space="preserve">5、采用远红外电热管加热，火力均匀。微电脑控制系统，精密度高，误差小，准确控温面火、底火单独控制，自动恒温；</w:t>
            </w:r>
            <w:r>
              <w:rPr>
                <w:rFonts w:hint="eastAsia"/>
                <w:sz w:val="20"/>
                <w:szCs w:val="20"/>
              </w:rPr>
              <w:br/>
              <w:t xml:space="preserve">6、超大玻璃门设计，内置照明灯，双层钢化安全玻璃，可观察烘烤效果；</w:t>
            </w:r>
            <w:r>
              <w:rPr>
                <w:rFonts w:hint="eastAsia"/>
                <w:sz w:val="20"/>
                <w:szCs w:val="20"/>
              </w:rPr>
              <w:br/>
              <w:t xml:space="preserve">7、具备超高温安全保护装置，使用更加安全；</w:t>
            </w:r>
            <w:r>
              <w:rPr>
                <w:rFonts w:hint="eastAsia"/>
                <w:sz w:val="20"/>
                <w:szCs w:val="20"/>
              </w:rPr>
              <w:br/>
              <w:t xml:space="preserve">8、万向脚轮,方便移动。</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2</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1335"/>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113</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双门发酵箱</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val="false"/>
          </w:tcPr>
          <w:p>
            <w:pP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1、双门；</w:t>
            </w:r>
            <w:r>
              <w:rPr>
                <w:rFonts w:hint="eastAsia"/>
                <w:sz w:val="20"/>
                <w:szCs w:val="20"/>
              </w:rPr>
              <w:br/>
              <w:t xml:space="preserve">2、规格：32盘；</w:t>
            </w:r>
            <w:r>
              <w:rPr>
                <w:rFonts w:hint="eastAsia"/>
                <w:sz w:val="20"/>
                <w:szCs w:val="20"/>
              </w:rPr>
              <w:br/>
              <w:t xml:space="preserve">3、功率：≥3.1KW。</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1</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1740"/>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114</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炉拼台</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300*1200*800+400</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1、台面:采用SUS304 ≥1.5mm不锈钢板；</w:t>
            </w:r>
            <w:r>
              <w:rPr>
                <w:rFonts w:hint="eastAsia"/>
                <w:sz w:val="20"/>
                <w:szCs w:val="20"/>
              </w:rPr>
              <w:br/>
              <w:t xml:space="preserve">2、加强筋：采用SUS304 ≥1.2mm不锈钢板；</w:t>
            </w:r>
            <w:r>
              <w:rPr>
                <w:rFonts w:hint="eastAsia"/>
                <w:sz w:val="20"/>
                <w:szCs w:val="20"/>
              </w:rPr>
              <w:br/>
              <w:t xml:space="preserve">3、脚架：采用SUS304 </w:t>
            </w:r>
            <w:r>
              <w:rPr>
                <w:rFonts w:ascii="Calibri" w:hAnsi="Calibri" w:cs="Calibri"/>
                <w:sz w:val="20"/>
                <w:szCs w:val="20"/>
              </w:rPr>
              <w:t xml:space="preserve">φ</w:t>
            </w:r>
            <w:r>
              <w:rPr>
                <w:rFonts w:hint="eastAsia"/>
                <w:sz w:val="20"/>
                <w:szCs w:val="20"/>
              </w:rPr>
              <w:t xml:space="preserve">38mm，厚度≥1.5mm不锈钢定形管；</w:t>
            </w:r>
            <w:r>
              <w:rPr>
                <w:rFonts w:hint="eastAsia"/>
                <w:sz w:val="20"/>
                <w:szCs w:val="20"/>
              </w:rPr>
              <w:br/>
              <w:t xml:space="preserve">4、横档：采用SUS304 </w:t>
            </w:r>
            <w:r>
              <w:rPr>
                <w:rFonts w:ascii="Calibri" w:hAnsi="Calibri" w:cs="Calibri"/>
                <w:sz w:val="20"/>
                <w:szCs w:val="20"/>
              </w:rPr>
              <w:t xml:space="preserve">ф</w:t>
            </w:r>
            <w:r>
              <w:rPr>
                <w:rFonts w:hint="eastAsia"/>
                <w:sz w:val="20"/>
                <w:szCs w:val="20"/>
              </w:rPr>
              <w:t xml:space="preserve">25mm，厚度≥1.2mm不锈钢定形管；</w:t>
            </w:r>
            <w:r>
              <w:rPr>
                <w:rFonts w:hint="eastAsia"/>
                <w:sz w:val="20"/>
                <w:szCs w:val="20"/>
              </w:rPr>
              <w:br/>
              <w:t xml:space="preserve">5、配不锈钢调节子弹脚。</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22</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1440"/>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115</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暖饭暖汤车</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600*600*800</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1、台面：采用SUS304 ≥1.5mm不锈钢板；</w:t>
            </w:r>
            <w:r>
              <w:rPr>
                <w:rFonts w:hint="eastAsia"/>
                <w:sz w:val="20"/>
                <w:szCs w:val="20"/>
              </w:rPr>
              <w:br/>
              <w:t xml:space="preserve">2、围板：采用SUS304 ≥1.2mm不锈钢板；</w:t>
            </w:r>
            <w:r>
              <w:rPr>
                <w:rFonts w:hint="eastAsia"/>
                <w:sz w:val="20"/>
                <w:szCs w:val="20"/>
              </w:rPr>
              <w:br/>
              <w:t xml:space="preserve">3、SUS304不锈钢发热管；</w:t>
            </w:r>
            <w:r>
              <w:rPr>
                <w:rFonts w:hint="eastAsia"/>
                <w:sz w:val="20"/>
                <w:szCs w:val="20"/>
              </w:rPr>
              <w:br/>
              <w:t xml:space="preserve">4、功率：≥3KW；</w:t>
            </w:r>
            <w:r>
              <w:rPr>
                <w:rFonts w:hint="eastAsia"/>
                <w:sz w:val="20"/>
                <w:szCs w:val="20"/>
              </w:rPr>
              <w:br/>
              <w:t xml:space="preserve">5、万向轮带刹车。</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4</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4710"/>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116</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val="false"/>
          </w:tcPr>
          <w:p>
            <w:pPr>
              <w:rPr>
                <w:rFonts w:hint="eastAsia"/>
                <w:sz w:val="20"/>
                <w:szCs w:val="20"/>
              </w:rPr>
            </w:pPr>
            <w:r>
              <w:rPr>
                <w:rFonts w:hint="eastAsia"/>
                <w:sz w:val="20"/>
                <w:szCs w:val="20"/>
              </w:rPr>
              <w:t xml:space="preserve">四门双机双温高身雪柜</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1220*760*1980</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1、温度范围：下箱：-15~-18℃、上箱：0~5℃，配全自动电子温控器；</w:t>
            </w:r>
            <w:r>
              <w:rPr>
                <w:rFonts w:hint="eastAsia"/>
                <w:sz w:val="20"/>
                <w:szCs w:val="20"/>
              </w:rPr>
              <w:br/>
              <w:t xml:space="preserve">2、制冷方式：风冷；</w:t>
            </w:r>
            <w:r>
              <w:rPr>
                <w:rFonts w:hint="eastAsia"/>
                <w:sz w:val="20"/>
                <w:szCs w:val="20"/>
              </w:rPr>
              <w:br/>
              <w:t xml:space="preserve">3、容积：≥900L；额定功率：≥980W；</w:t>
            </w:r>
            <w:r>
              <w:rPr>
                <w:rFonts w:hint="eastAsia"/>
                <w:sz w:val="20"/>
                <w:szCs w:val="20"/>
              </w:rPr>
              <w:br/>
              <w:t xml:space="preserve">4、150重力子弹脚；</w:t>
            </w:r>
            <w:r>
              <w:rPr>
                <w:rFonts w:hint="eastAsia"/>
                <w:sz w:val="20"/>
                <w:szCs w:val="20"/>
              </w:rPr>
              <w:br/>
              <w:t xml:space="preserve">5、外部材质：≥0.7mm SUS304不锈钢；内部材质：≥0.7mm SUS304不锈钢；</w:t>
            </w:r>
            <w:r>
              <w:rPr>
                <w:rFonts w:hint="eastAsia"/>
                <w:sz w:val="20"/>
                <w:szCs w:val="20"/>
              </w:rPr>
              <w:br/>
              <w:t xml:space="preserve">6、聚胺脂隔热保温材料≥50mm保温层；</w:t>
            </w:r>
            <w:r>
              <w:rPr>
                <w:rFonts w:hint="eastAsia"/>
                <w:sz w:val="20"/>
                <w:szCs w:val="20"/>
              </w:rPr>
              <w:br/>
              <w:t xml:space="preserve">7、制冷剂：R404a，制冷系统全铜管制造；</w:t>
            </w:r>
            <w:r>
              <w:rPr>
                <w:rFonts w:hint="eastAsia"/>
                <w:sz w:val="20"/>
                <w:szCs w:val="20"/>
              </w:rPr>
              <w:br/>
              <w:t xml:space="preserve">8、冷凝器配有易清洗更换防尘网；</w:t>
            </w:r>
            <w:r>
              <w:rPr>
                <w:rFonts w:hint="eastAsia"/>
                <w:sz w:val="20"/>
                <w:szCs w:val="20"/>
              </w:rPr>
              <w:br/>
              <w:t xml:space="preserve">9、配有微电脑控温液晶数字显示屏，精确提供当前机器运行参考数值；</w:t>
            </w:r>
            <w:r>
              <w:rPr>
                <w:rFonts w:hint="eastAsia"/>
                <w:sz w:val="20"/>
                <w:szCs w:val="20"/>
              </w:rPr>
              <w:br/>
              <w:t xml:space="preserve">10、全铜加厚蒸发器，电泳工艺防腐；</w:t>
            </w:r>
            <w:r>
              <w:rPr>
                <w:rFonts w:hint="eastAsia"/>
                <w:sz w:val="20"/>
                <w:szCs w:val="20"/>
              </w:rPr>
              <w:br/>
              <w:t xml:space="preserve">11、圆角内底盘设计，易清理，无死角；</w:t>
            </w:r>
            <w:r>
              <w:rPr>
                <w:rFonts w:hint="eastAsia"/>
                <w:sz w:val="20"/>
                <w:szCs w:val="20"/>
              </w:rPr>
              <w:br/>
              <w:t xml:space="preserve">12、冷冻室圈梁，竖梁十字型带加热除霜、除露功能，冰箱外壁无结露；</w:t>
            </w:r>
            <w:r>
              <w:rPr>
                <w:rFonts w:hint="eastAsia"/>
                <w:sz w:val="20"/>
                <w:szCs w:val="20"/>
              </w:rPr>
              <w:br/>
              <w:t xml:space="preserve">13、弹簧铰链自动回归门，不锈钢加厚门把手圆角打磨；</w:t>
            </w:r>
            <w:r>
              <w:rPr>
                <w:rFonts w:hint="eastAsia"/>
                <w:sz w:val="20"/>
                <w:szCs w:val="20"/>
              </w:rPr>
              <w:br/>
              <w:t xml:space="preserve">14、内置蒸发器精铜管，科学有效盘管，不易泄露，使用寿命长。</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15</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4740"/>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117</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val="false"/>
          </w:tcPr>
          <w:p>
            <w:pPr>
              <w:rPr>
                <w:rFonts w:hint="eastAsia"/>
                <w:sz w:val="20"/>
                <w:szCs w:val="20"/>
              </w:rPr>
            </w:pPr>
            <w:r>
              <w:rPr>
                <w:rFonts w:hint="eastAsia"/>
                <w:sz w:val="20"/>
                <w:szCs w:val="20"/>
              </w:rPr>
              <w:t xml:space="preserve">双温六门高身柜</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1830*760*1980</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1、温度范围：下箱：-15~-18℃、上箱：0~5℃，配全自动电子温控器；</w:t>
            </w:r>
            <w:r>
              <w:rPr>
                <w:rFonts w:hint="eastAsia"/>
                <w:sz w:val="20"/>
                <w:szCs w:val="20"/>
              </w:rPr>
              <w:br/>
              <w:t xml:space="preserve">2、制冷方式：风冷；</w:t>
            </w:r>
            <w:r>
              <w:rPr>
                <w:rFonts w:hint="eastAsia"/>
                <w:sz w:val="20"/>
                <w:szCs w:val="20"/>
              </w:rPr>
              <w:br/>
              <w:t xml:space="preserve">3、容积：≥1350L；额定功率：≥1280W； </w:t>
            </w:r>
            <w:r>
              <w:rPr>
                <w:rFonts w:hint="eastAsia"/>
                <w:sz w:val="20"/>
                <w:szCs w:val="20"/>
              </w:rPr>
              <w:br/>
              <w:t xml:space="preserve">4、150重力子弹脚；</w:t>
            </w:r>
            <w:r>
              <w:rPr>
                <w:rFonts w:hint="eastAsia"/>
                <w:sz w:val="20"/>
                <w:szCs w:val="20"/>
              </w:rPr>
              <w:br/>
              <w:t xml:space="preserve">5、外部材质：≥0.7mm SUS304不锈钢；内部材质：≥0.7mm SUS304不锈钢；</w:t>
            </w:r>
            <w:r>
              <w:rPr>
                <w:rFonts w:hint="eastAsia"/>
                <w:sz w:val="20"/>
                <w:szCs w:val="20"/>
              </w:rPr>
              <w:br/>
              <w:t xml:space="preserve">6、聚胺脂隔热保温材料≥50mm保温层；</w:t>
            </w:r>
            <w:r>
              <w:rPr>
                <w:rFonts w:hint="eastAsia"/>
                <w:sz w:val="20"/>
                <w:szCs w:val="20"/>
              </w:rPr>
              <w:br/>
              <w:t xml:space="preserve">7、制冷剂：R404a，制冷系统全铜管制造；</w:t>
            </w:r>
            <w:r>
              <w:rPr>
                <w:rFonts w:hint="eastAsia"/>
                <w:sz w:val="20"/>
                <w:szCs w:val="20"/>
              </w:rPr>
              <w:br/>
              <w:t xml:space="preserve">8、冷凝器配有易清洗更换防尘网；</w:t>
            </w:r>
            <w:r>
              <w:rPr>
                <w:rFonts w:hint="eastAsia"/>
                <w:sz w:val="20"/>
                <w:szCs w:val="20"/>
              </w:rPr>
              <w:br/>
              <w:t xml:space="preserve">9、配有微电脑控温液晶数字显示屏，精确提供当前机器运行参考数值；</w:t>
            </w:r>
            <w:r>
              <w:rPr>
                <w:rFonts w:hint="eastAsia"/>
                <w:sz w:val="20"/>
                <w:szCs w:val="20"/>
              </w:rPr>
              <w:br/>
              <w:t xml:space="preserve">10、全铜加厚蒸发器，电泳工艺防腐；</w:t>
            </w:r>
            <w:r>
              <w:rPr>
                <w:rFonts w:hint="eastAsia"/>
                <w:sz w:val="20"/>
                <w:szCs w:val="20"/>
              </w:rPr>
              <w:br/>
              <w:t xml:space="preserve">11、圆角内底盘设计，易清理，无死角；</w:t>
            </w:r>
            <w:r>
              <w:rPr>
                <w:rFonts w:hint="eastAsia"/>
                <w:sz w:val="20"/>
                <w:szCs w:val="20"/>
              </w:rPr>
              <w:br/>
              <w:t xml:space="preserve">12、冷冻室圈梁，竖梁十字型带加热除霜、除露功能，冰箱外壁无结露；</w:t>
            </w:r>
            <w:r>
              <w:rPr>
                <w:rFonts w:hint="eastAsia"/>
                <w:sz w:val="20"/>
                <w:szCs w:val="20"/>
              </w:rPr>
              <w:br/>
              <w:t xml:space="preserve">13、弹簧铰链自动回归门，不锈钢加厚门把手圆角打磨；</w:t>
            </w:r>
            <w:r>
              <w:rPr>
                <w:rFonts w:hint="eastAsia"/>
                <w:sz w:val="20"/>
                <w:szCs w:val="20"/>
              </w:rPr>
              <w:br/>
              <w:t xml:space="preserve">14、内置蒸发器精铜管，科学有效盘管，不易泄露，使用寿命长。</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2</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4485"/>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118</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val="false"/>
          </w:tcPr>
          <w:p>
            <w:pPr>
              <w:rPr>
                <w:rFonts w:hint="eastAsia"/>
                <w:sz w:val="20"/>
                <w:szCs w:val="20"/>
              </w:rPr>
            </w:pPr>
            <w:r>
              <w:rPr>
                <w:rFonts w:hint="eastAsia"/>
                <w:sz w:val="20"/>
                <w:szCs w:val="20"/>
              </w:rPr>
              <w:t xml:space="preserve">立式双玻璃门展示柜</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620*760*1980</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1、温度范围：2~5℃，配全自动电子温控器；</w:t>
            </w:r>
            <w:r>
              <w:rPr>
                <w:rFonts w:hint="eastAsia"/>
                <w:sz w:val="20"/>
                <w:szCs w:val="20"/>
              </w:rPr>
              <w:br/>
              <w:t xml:space="preserve">2、制冷方式：风冷；</w:t>
            </w:r>
            <w:r>
              <w:rPr>
                <w:rFonts w:hint="eastAsia"/>
                <w:sz w:val="20"/>
                <w:szCs w:val="20"/>
              </w:rPr>
              <w:br/>
              <w:t xml:space="preserve">3、容积：≥450L；额定功率：≥380W； </w:t>
            </w:r>
            <w:r>
              <w:rPr>
                <w:rFonts w:hint="eastAsia"/>
                <w:sz w:val="20"/>
                <w:szCs w:val="20"/>
              </w:rPr>
              <w:br/>
              <w:t xml:space="preserve">4、150重力子弹脚；</w:t>
            </w:r>
            <w:r>
              <w:rPr>
                <w:rFonts w:hint="eastAsia"/>
                <w:sz w:val="20"/>
                <w:szCs w:val="20"/>
              </w:rPr>
              <w:br/>
              <w:t xml:space="preserve">5、外部材质：≥0.7mm SUS304不锈钢；内部材质：≥0.7mm SUS304不锈钢；</w:t>
            </w:r>
            <w:r>
              <w:rPr>
                <w:rFonts w:hint="eastAsia"/>
                <w:sz w:val="20"/>
                <w:szCs w:val="20"/>
              </w:rPr>
              <w:br/>
              <w:t xml:space="preserve">6、聚胺脂隔热保温材料≥50mm保温层；</w:t>
            </w:r>
            <w:r>
              <w:rPr>
                <w:rFonts w:hint="eastAsia"/>
                <w:sz w:val="20"/>
                <w:szCs w:val="20"/>
              </w:rPr>
              <w:br/>
              <w:t xml:space="preserve">7、制冷剂：R404a，制冷系统全铜管制造；</w:t>
            </w:r>
            <w:r>
              <w:rPr>
                <w:rFonts w:hint="eastAsia"/>
                <w:sz w:val="20"/>
                <w:szCs w:val="20"/>
              </w:rPr>
              <w:br/>
              <w:t xml:space="preserve">8、冷凝器配有易清洗更换防尘网；</w:t>
            </w:r>
            <w:r>
              <w:rPr>
                <w:rFonts w:hint="eastAsia"/>
                <w:sz w:val="20"/>
                <w:szCs w:val="20"/>
              </w:rPr>
              <w:br/>
              <w:t xml:space="preserve">9、配有微电脑控温液晶数字显示屏，精确提供当前机器运行参考数值；</w:t>
            </w:r>
            <w:r>
              <w:rPr>
                <w:rFonts w:hint="eastAsia"/>
                <w:sz w:val="20"/>
                <w:szCs w:val="20"/>
              </w:rPr>
              <w:br/>
              <w:t xml:space="preserve">10、全铜加厚蒸发器，电泳工艺防腐；</w:t>
            </w:r>
            <w:r>
              <w:rPr>
                <w:rFonts w:hint="eastAsia"/>
                <w:sz w:val="20"/>
                <w:szCs w:val="20"/>
              </w:rPr>
              <w:br/>
              <w:t xml:space="preserve">11、圆角内底盘设计，易清理，无死角；</w:t>
            </w:r>
            <w:r>
              <w:rPr>
                <w:rFonts w:hint="eastAsia"/>
                <w:sz w:val="20"/>
                <w:szCs w:val="20"/>
              </w:rPr>
              <w:br/>
              <w:t xml:space="preserve">12、冷藏豪华双层中空玻璃，LED照明；</w:t>
            </w:r>
            <w:r>
              <w:rPr>
                <w:rFonts w:hint="eastAsia"/>
                <w:sz w:val="20"/>
                <w:szCs w:val="20"/>
              </w:rPr>
              <w:br/>
              <w:t xml:space="preserve">13、弹簧铰链自动回归门，不锈钢加厚门把手圆角打磨；</w:t>
            </w:r>
            <w:r>
              <w:rPr>
                <w:rFonts w:hint="eastAsia"/>
                <w:sz w:val="20"/>
                <w:szCs w:val="20"/>
              </w:rPr>
              <w:br/>
              <w:t xml:space="preserve">14、内置蒸发器精铜管，科学有效盘管，不易泄露，使用寿命长。</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2</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3702"/>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119</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val="false"/>
          </w:tcPr>
          <w:p>
            <w:pPr>
              <w:rPr>
                <w:rFonts w:hint="eastAsia"/>
                <w:sz w:val="20"/>
                <w:szCs w:val="20"/>
              </w:rPr>
            </w:pPr>
            <w:r>
              <w:rPr>
                <w:rFonts w:hint="eastAsia"/>
                <w:sz w:val="20"/>
                <w:szCs w:val="20"/>
              </w:rPr>
              <w:t xml:space="preserve">长龙式洗碗机</w:t>
            </w:r>
            <w:r>
              <w:rPr>
                <w:rFonts w:hint="eastAsia"/>
                <w:sz w:val="20"/>
                <w:szCs w:val="20"/>
              </w:rPr>
              <w:br/>
              <w:t xml:space="preserve">（带烘干)</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val="false"/>
          </w:tcPr>
          <w:p>
            <w:pPr>
              <w:rPr>
                <w:rFonts w:hint="eastAsia"/>
                <w:sz w:val="20"/>
                <w:szCs w:val="20"/>
              </w:rPr>
            </w:pPr>
            <w:r>
              <w:rPr>
                <w:rFonts w:hint="eastAsia"/>
                <w:sz w:val="20"/>
                <w:szCs w:val="20"/>
              </w:rPr>
              <w:t xml:space="preserve">5350*914*1980</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1、洗涤能力：≥6400碟/H（8寸碟）；</w:t>
            </w:r>
            <w:r>
              <w:rPr>
                <w:rFonts w:hint="eastAsia"/>
                <w:sz w:val="20"/>
                <w:szCs w:val="20"/>
              </w:rPr>
              <w:br/>
              <w:t xml:space="preserve">2、最大耗水量：≤270L/H；</w:t>
            </w:r>
            <w:r>
              <w:rPr>
                <w:rFonts w:hint="eastAsia"/>
                <w:sz w:val="20"/>
                <w:szCs w:val="20"/>
              </w:rPr>
              <w:br/>
              <w:t xml:space="preserve">3、总功率：≥59.9KW；                                                                    </w:t>
            </w:r>
            <w:r>
              <w:rPr>
                <w:rFonts w:hint="eastAsia"/>
                <w:sz w:val="20"/>
                <w:szCs w:val="20"/>
              </w:rPr>
              <w:br/>
              <w:t xml:space="preserve">4、机械式控制面板，操作简单；                                                             </w:t>
            </w:r>
            <w:r>
              <w:rPr>
                <w:rFonts w:hint="eastAsia"/>
                <w:sz w:val="20"/>
                <w:szCs w:val="20"/>
              </w:rPr>
              <w:br/>
              <w:t xml:space="preserve">5、直插式清洗臂设计，拆装更便捷；</w:t>
            </w:r>
            <w:r>
              <w:rPr>
                <w:rFonts w:hint="eastAsia"/>
                <w:sz w:val="20"/>
                <w:szCs w:val="20"/>
              </w:rPr>
              <w:br/>
              <w:t xml:space="preserve">6、变频传动控制设计，具有柔性启动功能；</w:t>
            </w:r>
            <w:r>
              <w:rPr>
                <w:rFonts w:hint="eastAsia"/>
                <w:sz w:val="20"/>
                <w:szCs w:val="20"/>
              </w:rPr>
              <w:br/>
              <w:t xml:space="preserve">7、水箱及加热包防干烧设计，安全可靠；</w:t>
            </w:r>
            <w:r>
              <w:rPr>
                <w:rFonts w:hint="eastAsia"/>
                <w:sz w:val="20"/>
                <w:szCs w:val="20"/>
              </w:rPr>
              <w:br/>
              <w:t xml:space="preserve">8、灵活的模块化组合设计，满足不同的洗涤需求；</w:t>
            </w:r>
            <w:r>
              <w:rPr>
                <w:rFonts w:hint="eastAsia"/>
                <w:sz w:val="20"/>
                <w:szCs w:val="20"/>
              </w:rPr>
              <w:br/>
              <w:t xml:space="preserve">9、内置卷簧门和挂钩，双重保护操作人员的安全；</w:t>
            </w:r>
            <w:r>
              <w:rPr>
                <w:rFonts w:hint="eastAsia"/>
                <w:sz w:val="20"/>
                <w:szCs w:val="20"/>
              </w:rPr>
              <w:br/>
              <w:t xml:space="preserve">10、进出口双齿轮设计， 最大限度降低链排的磨损；</w:t>
            </w:r>
            <w:r>
              <w:rPr>
                <w:rFonts w:hint="eastAsia"/>
                <w:sz w:val="20"/>
                <w:szCs w:val="20"/>
              </w:rPr>
              <w:br/>
              <w:t xml:space="preserve">11、电箱置于机器顶部，节省空间，方便操作和维护；</w:t>
            </w:r>
            <w:r>
              <w:rPr>
                <w:rFonts w:hint="eastAsia"/>
                <w:sz w:val="20"/>
                <w:szCs w:val="20"/>
              </w:rPr>
              <w:br/>
              <w:t xml:space="preserve">12、内循环环绕热风烘干设计，增加侧出风口，干燥效果更佳。</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2</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1680"/>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120</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小件投掷柜1</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7800*250*880</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1、台面:采用SUS304 ≥1.5mm不锈钢板；</w:t>
            </w:r>
            <w:r>
              <w:rPr>
                <w:rFonts w:hint="eastAsia"/>
                <w:sz w:val="20"/>
                <w:szCs w:val="20"/>
              </w:rPr>
              <w:br/>
              <w:t xml:space="preserve">2、侧板：采用SUS304 ≥1.2mm不锈钢板；</w:t>
            </w:r>
            <w:r>
              <w:rPr>
                <w:rFonts w:hint="eastAsia"/>
                <w:sz w:val="20"/>
                <w:szCs w:val="20"/>
              </w:rPr>
              <w:br/>
              <w:t xml:space="preserve">3、门：采用SUS304 ≥1.2mm双层不锈钢板；</w:t>
            </w:r>
            <w:r>
              <w:rPr>
                <w:rFonts w:hint="eastAsia"/>
                <w:sz w:val="20"/>
                <w:szCs w:val="20"/>
              </w:rPr>
              <w:br/>
              <w:t xml:space="preserve">4、加强筋：采用SUS304 ≥1.2mm不锈钢板；</w:t>
            </w:r>
            <w:r>
              <w:rPr>
                <w:rFonts w:hint="eastAsia"/>
                <w:sz w:val="20"/>
                <w:szCs w:val="20"/>
              </w:rPr>
              <w:br/>
              <w:t xml:space="preserve">5、不锈钢可调重型脚。</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套</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1</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1680"/>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121</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小件投掷柜2</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7900*250*880</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1、台面:采用SUS304 ≥1.5mm不锈钢板；</w:t>
            </w:r>
            <w:r>
              <w:rPr>
                <w:rFonts w:hint="eastAsia"/>
                <w:sz w:val="20"/>
                <w:szCs w:val="20"/>
              </w:rPr>
              <w:br/>
              <w:t xml:space="preserve">2、侧板：采用SUS304 ≥1.2mm不锈钢板；</w:t>
            </w:r>
            <w:r>
              <w:rPr>
                <w:rFonts w:hint="eastAsia"/>
                <w:sz w:val="20"/>
                <w:szCs w:val="20"/>
              </w:rPr>
              <w:br/>
              <w:t xml:space="preserve">3、门：采用SUS304 ≥1.2mm双层不锈钢板；</w:t>
            </w:r>
            <w:r>
              <w:rPr>
                <w:rFonts w:hint="eastAsia"/>
                <w:sz w:val="20"/>
                <w:szCs w:val="20"/>
              </w:rPr>
              <w:br/>
              <w:t xml:space="preserve">4、加强筋：采用SUS304 ≥1.2mm不锈钢板；</w:t>
            </w:r>
            <w:r>
              <w:rPr>
                <w:rFonts w:hint="eastAsia"/>
                <w:sz w:val="20"/>
                <w:szCs w:val="20"/>
              </w:rPr>
              <w:br/>
              <w:t xml:space="preserve">5、不锈钢可调重型脚。</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套</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1</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1110"/>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122</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置桶架</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1200*600*200</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横档：采用38*25mm，厚度≥1.5mm不锈钢方管 </w:t>
            </w:r>
            <w:r>
              <w:rPr>
                <w:rFonts w:hint="eastAsia"/>
                <w:sz w:val="20"/>
                <w:szCs w:val="20"/>
              </w:rPr>
              <w:br/>
              <w:t xml:space="preserve">栅栏：采用38*25mm，厚度≥1.5mm不锈钢方管</w:t>
            </w:r>
            <w:r>
              <w:rPr>
                <w:rFonts w:hint="eastAsia"/>
                <w:sz w:val="20"/>
                <w:szCs w:val="20"/>
              </w:rPr>
              <w:br/>
              <w:t xml:space="preserve">脚架：采用38*38mm，厚度≥1.5mm不锈钢方管</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2</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540"/>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123</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抽气罩</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800*800*500</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罩体采用SUS304 ≥1.2mm不锈钢板；带安装材料。</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2</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540"/>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124</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牛角抽气罩</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600*350*660</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罩体采用SUS304 ≥1.2mm不锈钢板；带安装材料。</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4</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540"/>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125</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集气罩</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7200*1200*500</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罩体采用SUS304 ≥1.2mm不锈钢板；带安装材料。</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8.64</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540"/>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126</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油网烟罩</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5000*1300*500</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罩体采用SUS304 ≥1.2mm不锈钢板；带安装材料；带高温防爆灯；带隔油网板。</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6.5</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2220"/>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127</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val="false"/>
          </w:tcPr>
          <w:p>
            <w:pPr>
              <w:rPr>
                <w:rFonts w:hint="eastAsia"/>
                <w:sz w:val="20"/>
                <w:szCs w:val="20"/>
              </w:rPr>
            </w:pPr>
            <w:r>
              <w:rPr>
                <w:rFonts w:hint="eastAsia"/>
                <w:sz w:val="20"/>
                <w:szCs w:val="20"/>
              </w:rPr>
              <w:t xml:space="preserve">油网烟罩连弥散新风1</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val="false"/>
          </w:tcPr>
          <w:p>
            <w:pPr>
              <w:rPr>
                <w:rFonts w:hint="eastAsia"/>
                <w:sz w:val="20"/>
                <w:szCs w:val="20"/>
              </w:rPr>
            </w:pPr>
            <w:r>
              <w:rPr>
                <w:rFonts w:hint="eastAsia"/>
                <w:sz w:val="20"/>
                <w:szCs w:val="20"/>
              </w:rPr>
              <w:t xml:space="preserve">12800*1550*500*2组</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1、烟罩主体材质采用304不锈钢制作，板厚≥1.2mm，板材经油膜拉丝工艺处理；</w:t>
            </w:r>
            <w:r>
              <w:rPr>
                <w:rFonts w:hint="eastAsia"/>
                <w:sz w:val="20"/>
                <w:szCs w:val="20"/>
              </w:rPr>
              <w:br/>
              <w:t xml:space="preserve">2、配备新风面板，可以对厨房补充新风，新风口设置有蜂窝过滤板，过滤新风中可能存在有的灰尘颗粒；</w:t>
            </w:r>
            <w:r>
              <w:rPr>
                <w:rFonts w:hint="eastAsia"/>
                <w:sz w:val="20"/>
                <w:szCs w:val="20"/>
              </w:rPr>
              <w:br/>
              <w:t xml:space="preserve">3、在烟罩四周制造风幕，防止油烟外溢；</w:t>
            </w:r>
            <w:r>
              <w:rPr>
                <w:rFonts w:hint="eastAsia"/>
                <w:sz w:val="20"/>
                <w:szCs w:val="20"/>
              </w:rPr>
              <w:br/>
              <w:t xml:space="preserve">4、配备LED照明灯具，以及钢化玻璃防尘罩；</w:t>
            </w:r>
            <w:r>
              <w:rPr>
                <w:rFonts w:hint="eastAsia"/>
                <w:sz w:val="20"/>
                <w:szCs w:val="20"/>
              </w:rPr>
              <w:br/>
              <w:t xml:space="preserve">5、烟罩风口配备有风量调节阀。</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40</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2220"/>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128</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val="false"/>
          </w:tcPr>
          <w:p>
            <w:pPr>
              <w:rPr>
                <w:rFonts w:hint="eastAsia"/>
                <w:sz w:val="20"/>
                <w:szCs w:val="20"/>
              </w:rPr>
            </w:pPr>
            <w:r>
              <w:rPr>
                <w:rFonts w:hint="eastAsia"/>
                <w:sz w:val="20"/>
                <w:szCs w:val="20"/>
              </w:rPr>
              <w:t xml:space="preserve">油网烟罩连弥散新风2</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val="false"/>
          </w:tcPr>
          <w:p>
            <w:pPr>
              <w:rPr>
                <w:rFonts w:hint="eastAsia"/>
                <w:sz w:val="20"/>
                <w:szCs w:val="20"/>
              </w:rPr>
            </w:pPr>
            <w:r>
              <w:rPr>
                <w:rFonts w:hint="eastAsia"/>
                <w:sz w:val="20"/>
                <w:szCs w:val="20"/>
              </w:rPr>
              <w:t xml:space="preserve">5500*1450*500*8组</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1、烟罩主体材质采用304不锈钢制作，板厚≥1.2mm，板材经油膜拉丝工艺处理；</w:t>
            </w:r>
            <w:r>
              <w:rPr>
                <w:rFonts w:hint="eastAsia"/>
                <w:sz w:val="20"/>
                <w:szCs w:val="20"/>
              </w:rPr>
              <w:br/>
              <w:t xml:space="preserve">2、配备新风面板，可以对厨房补充新风，新风口设置有蜂窝过滤板，过滤新风中可能存在有的灰尘颗粒；</w:t>
            </w:r>
            <w:r>
              <w:rPr>
                <w:rFonts w:hint="eastAsia"/>
                <w:sz w:val="20"/>
                <w:szCs w:val="20"/>
              </w:rPr>
              <w:br/>
              <w:t xml:space="preserve">3、在烟罩四周制造风幕，防止油烟外溢；</w:t>
            </w:r>
            <w:r>
              <w:rPr>
                <w:rFonts w:hint="eastAsia"/>
                <w:sz w:val="20"/>
                <w:szCs w:val="20"/>
              </w:rPr>
              <w:br/>
              <w:t xml:space="preserve">4、配备LED照明灯具，以及钢化玻璃防尘罩；</w:t>
            </w:r>
            <w:r>
              <w:rPr>
                <w:rFonts w:hint="eastAsia"/>
                <w:sz w:val="20"/>
                <w:szCs w:val="20"/>
              </w:rPr>
              <w:br/>
              <w:t xml:space="preserve">5、烟罩风口配备有风量调节阀。</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32</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3675"/>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129</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val="false"/>
          </w:tcPr>
          <w:p>
            <w:pPr>
              <w:rPr>
                <w:rFonts w:hint="eastAsia"/>
                <w:sz w:val="20"/>
                <w:szCs w:val="20"/>
              </w:rPr>
            </w:pPr>
            <w:r>
              <w:rPr>
                <w:rFonts w:hint="eastAsia"/>
                <w:sz w:val="20"/>
                <w:szCs w:val="20"/>
              </w:rPr>
              <w:t xml:space="preserve">圆带式餐盘传送机1</w:t>
            </w:r>
            <w:r>
              <w:rPr>
                <w:rFonts w:hint="eastAsia"/>
                <w:sz w:val="20"/>
                <w:szCs w:val="20"/>
              </w:rPr>
              <w:br/>
              <w:t xml:space="preserve">（含转角）</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val="false"/>
          </w:tcPr>
          <w:p>
            <w:pPr>
              <w:rPr>
                <w:rFonts w:hint="eastAsia"/>
                <w:sz w:val="20"/>
                <w:szCs w:val="20"/>
              </w:rPr>
            </w:pPr>
            <w:r>
              <w:rPr>
                <w:rFonts w:hint="eastAsia"/>
                <w:sz w:val="20"/>
                <w:szCs w:val="20"/>
              </w:rPr>
              <w:br/>
              <w:t xml:space="preserve">17000*480*880</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1、产品功能：通过圆带传送餐具，提高餐具回收效率，高效省时省力；</w:t>
            </w:r>
            <w:r>
              <w:rPr>
                <w:rFonts w:hint="eastAsia"/>
                <w:sz w:val="20"/>
                <w:szCs w:val="20"/>
              </w:rPr>
              <w:br/>
              <w:t xml:space="preserve">2、总功率：≥1KW；</w:t>
            </w:r>
            <w:r>
              <w:rPr>
                <w:rFonts w:hint="eastAsia"/>
                <w:sz w:val="20"/>
                <w:szCs w:val="20"/>
              </w:rPr>
              <w:br/>
              <w:t xml:space="preserve">3、传送速度：5～20m/min；</w:t>
            </w:r>
            <w:r>
              <w:rPr>
                <w:rFonts w:hint="eastAsia"/>
                <w:sz w:val="20"/>
                <w:szCs w:val="20"/>
              </w:rPr>
              <w:br/>
              <w:t xml:space="preserve">4、两条平行的圆带通过PP驱动轮带动平底托盘在不锈钢台面滑动，从而实现平底托盘直线、水平转弯以及带爬坡传送设计，传送过程无噪音；</w:t>
            </w:r>
            <w:r>
              <w:rPr>
                <w:rFonts w:hint="eastAsia"/>
                <w:sz w:val="20"/>
                <w:szCs w:val="20"/>
              </w:rPr>
              <w:br/>
              <w:t xml:space="preserve">5、配置≥</w:t>
            </w:r>
            <w:r>
              <w:rPr>
                <w:rFonts w:ascii="Calibri" w:hAnsi="Calibri" w:cs="Calibri"/>
                <w:sz w:val="20"/>
                <w:szCs w:val="20"/>
              </w:rPr>
              <w:t xml:space="preserve">φ</w:t>
            </w:r>
            <w:r>
              <w:rPr>
                <w:rFonts w:hint="eastAsia"/>
                <w:sz w:val="20"/>
                <w:szCs w:val="20"/>
              </w:rPr>
              <w:t xml:space="preserve">18mm聚氨酯圆带，内嵌加强芯，拉断力＞3000N，更经久耐用；</w:t>
            </w:r>
            <w:r>
              <w:rPr>
                <w:rFonts w:hint="eastAsia"/>
                <w:sz w:val="20"/>
                <w:szCs w:val="20"/>
              </w:rPr>
              <w:br/>
              <w:t xml:space="preserve">6、内置减速电机和变频器，具有无极变频调速，柔性启动功能；                                                 </w:t>
            </w:r>
            <w:r>
              <w:rPr>
                <w:rFonts w:hint="eastAsia"/>
                <w:sz w:val="20"/>
                <w:szCs w:val="20"/>
              </w:rPr>
              <w:br/>
              <w:t xml:space="preserve">7、采用不锈钢材质的托盘导向护边，台面内置残渣篮，清洁方便；</w:t>
            </w:r>
            <w:r>
              <w:rPr>
                <w:rFonts w:hint="eastAsia"/>
                <w:sz w:val="20"/>
                <w:szCs w:val="20"/>
              </w:rPr>
              <w:br/>
              <w:t xml:space="preserve">8、实时数显传送速度，外置调速电位器，操作可视化，一目了然；</w:t>
            </w:r>
            <w:r>
              <w:rPr>
                <w:rFonts w:hint="eastAsia"/>
                <w:sz w:val="20"/>
                <w:szCs w:val="20"/>
              </w:rPr>
              <w:br/>
              <w:t xml:space="preserve">9、操作面板上配置总电源开关、启动开关、停止开关和急停开关。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套</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1</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4905"/>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130</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val="false"/>
          </w:tcPr>
          <w:p>
            <w:pPr>
              <w:rPr>
                <w:rFonts w:hint="eastAsia"/>
                <w:sz w:val="20"/>
                <w:szCs w:val="20"/>
              </w:rPr>
            </w:pPr>
            <w:r>
              <w:rPr>
                <w:rFonts w:hint="eastAsia"/>
                <w:sz w:val="20"/>
                <w:szCs w:val="20"/>
              </w:rPr>
              <w:t xml:space="preserve">圆带式餐盘传送机2（含转角）</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17200*480*880</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1、产品功能：通过圆带传送餐具，提高餐具回收效率，高效省时省力；</w:t>
            </w:r>
            <w:r>
              <w:rPr>
                <w:rFonts w:hint="eastAsia"/>
                <w:sz w:val="20"/>
                <w:szCs w:val="20"/>
              </w:rPr>
              <w:br/>
              <w:t xml:space="preserve">2、总功率：≥1KW；</w:t>
            </w:r>
            <w:r>
              <w:rPr>
                <w:rFonts w:hint="eastAsia"/>
                <w:sz w:val="20"/>
                <w:szCs w:val="20"/>
              </w:rPr>
              <w:br/>
              <w:t xml:space="preserve">3、传送速度：5～20m/min；</w:t>
            </w:r>
            <w:r>
              <w:rPr>
                <w:rFonts w:hint="eastAsia"/>
                <w:sz w:val="20"/>
                <w:szCs w:val="20"/>
              </w:rPr>
              <w:br/>
              <w:t xml:space="preserve">4、两条平行的圆带通过PP驱动轮带动平底托盘在不锈钢台面滑动，从而实现平底托盘直线、水平转弯以及带爬坡传送设计，传送过程无噪音；</w:t>
            </w:r>
            <w:r>
              <w:rPr>
                <w:rFonts w:hint="eastAsia"/>
                <w:sz w:val="20"/>
                <w:szCs w:val="20"/>
              </w:rPr>
              <w:br/>
              <w:t xml:space="preserve">5、配置≥</w:t>
            </w:r>
            <w:r>
              <w:rPr>
                <w:rFonts w:ascii="Calibri" w:hAnsi="Calibri" w:cs="Calibri"/>
                <w:sz w:val="20"/>
                <w:szCs w:val="20"/>
              </w:rPr>
              <w:t xml:space="preserve">φ</w:t>
            </w:r>
            <w:r>
              <w:rPr>
                <w:rFonts w:hint="eastAsia"/>
                <w:sz w:val="20"/>
                <w:szCs w:val="20"/>
              </w:rPr>
              <w:t xml:space="preserve">18mm聚氨酯圆带，内嵌加强芯，拉断力＞3000N，更经久耐用；</w:t>
            </w:r>
            <w:r>
              <w:rPr>
                <w:rFonts w:hint="eastAsia"/>
                <w:sz w:val="20"/>
                <w:szCs w:val="20"/>
              </w:rPr>
              <w:br/>
              <w:t xml:space="preserve">6、内置减速电机和变频器，具有无极变频调速，柔性启动功能；                                                 </w:t>
            </w:r>
            <w:r>
              <w:rPr>
                <w:rFonts w:hint="eastAsia"/>
                <w:sz w:val="20"/>
                <w:szCs w:val="20"/>
              </w:rPr>
              <w:br/>
              <w:t xml:space="preserve">7、采用不锈钢材质的托盘导向护边，台面内置残渣篮，清洁方便；</w:t>
            </w:r>
            <w:r>
              <w:rPr>
                <w:rFonts w:hint="eastAsia"/>
                <w:sz w:val="20"/>
                <w:szCs w:val="20"/>
              </w:rPr>
              <w:br/>
              <w:t xml:space="preserve">8、实时数显传送速度，外置调速电位器，操作可视化，一目了然；</w:t>
            </w:r>
            <w:r>
              <w:rPr>
                <w:rFonts w:hint="eastAsia"/>
                <w:sz w:val="20"/>
                <w:szCs w:val="20"/>
              </w:rPr>
              <w:br/>
              <w:t xml:space="preserve">9、操作面板上配置总电源开关、启动开关、停止开关和急停开关。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套</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1</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540"/>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131</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蒸柜推车</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820*650*1600</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采用SUS304，厚度≥1.5mm不锈钢板；配静音万向脚轮。</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2</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1575"/>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132</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拖把池</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1200*600*600+200</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1、台面:采用SUS304 ≥1.5mm不锈钢板；</w:t>
            </w:r>
            <w:r>
              <w:rPr>
                <w:rFonts w:hint="eastAsia"/>
                <w:sz w:val="20"/>
                <w:szCs w:val="20"/>
              </w:rPr>
              <w:br/>
              <w:t xml:space="preserve">2、槽身:采用SUS304 ≥1.5mm不锈钢板；</w:t>
            </w:r>
            <w:r>
              <w:rPr>
                <w:rFonts w:hint="eastAsia"/>
                <w:sz w:val="20"/>
                <w:szCs w:val="20"/>
              </w:rPr>
              <w:br/>
              <w:t xml:space="preserve">3、脚架:采用SUS304 </w:t>
            </w:r>
            <w:r>
              <w:rPr>
                <w:rFonts w:ascii="Calibri" w:hAnsi="Calibri" w:cs="Calibri"/>
                <w:sz w:val="20"/>
                <w:szCs w:val="20"/>
              </w:rPr>
              <w:t xml:space="preserve">ф</w:t>
            </w:r>
            <w:r>
              <w:rPr>
                <w:rFonts w:hint="eastAsia"/>
                <w:sz w:val="20"/>
                <w:szCs w:val="20"/>
              </w:rPr>
              <w:t xml:space="preserve">38mm，厚度≥1.5mm定形管；</w:t>
            </w:r>
            <w:r>
              <w:rPr>
                <w:rFonts w:hint="eastAsia"/>
                <w:sz w:val="20"/>
                <w:szCs w:val="20"/>
              </w:rPr>
              <w:br/>
              <w:t xml:space="preserve">4、横档:采用SUS304 </w:t>
            </w:r>
            <w:r>
              <w:rPr>
                <w:rFonts w:ascii="Calibri" w:hAnsi="Calibri" w:cs="Calibri"/>
                <w:sz w:val="20"/>
                <w:szCs w:val="20"/>
              </w:rPr>
              <w:t xml:space="preserve">ф</w:t>
            </w:r>
            <w:r>
              <w:rPr>
                <w:rFonts w:hint="eastAsia"/>
                <w:sz w:val="20"/>
                <w:szCs w:val="20"/>
              </w:rPr>
              <w:t xml:space="preserve">25mm，厚度≥1.2mm定形管；</w:t>
            </w:r>
            <w:r>
              <w:rPr>
                <w:rFonts w:hint="eastAsia"/>
                <w:sz w:val="20"/>
                <w:szCs w:val="20"/>
              </w:rPr>
              <w:br/>
              <w:t xml:space="preserve">5、配SUS304不锈钢下水口、配SUS304 </w:t>
            </w:r>
            <w:r>
              <w:rPr>
                <w:rFonts w:ascii="Calibri" w:hAnsi="Calibri" w:cs="Calibri"/>
                <w:sz w:val="20"/>
                <w:szCs w:val="20"/>
              </w:rPr>
              <w:t xml:space="preserve">ф</w:t>
            </w:r>
            <w:r>
              <w:rPr>
                <w:rFonts w:hint="eastAsia"/>
                <w:sz w:val="20"/>
                <w:szCs w:val="20"/>
              </w:rPr>
              <w:t xml:space="preserve">38mm不锈钢调节子弹脚。</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2</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1470"/>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133</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拖把架</w:t>
            </w: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tcPr>
          <w:p>
            <w:pPr>
              <w:rPr>
                <w:rFonts w:hint="eastAsia"/>
                <w:sz w:val="20"/>
                <w:szCs w:val="20"/>
              </w:rPr>
            </w:pPr>
            <w:r>
              <w:rPr>
                <w:rFonts w:hint="eastAsia"/>
                <w:sz w:val="20"/>
                <w:szCs w:val="20"/>
              </w:rPr>
              <w:t xml:space="preserve">L=1200</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1、采用SUS304 厚度≥1.2mm不锈钢；</w:t>
            </w:r>
            <w:r>
              <w:rPr>
                <w:rFonts w:hint="eastAsia"/>
                <w:sz w:val="20"/>
                <w:szCs w:val="20"/>
              </w:rPr>
              <w:br/>
              <w:t xml:space="preserve">2、立柱、横档 SUS304不锈钢</w:t>
            </w:r>
            <w:r>
              <w:rPr>
                <w:rFonts w:ascii="Calibri" w:hAnsi="Calibri" w:cs="Calibri"/>
                <w:sz w:val="20"/>
                <w:szCs w:val="20"/>
              </w:rPr>
              <w:t xml:space="preserve">ф</w:t>
            </w:r>
            <w:r>
              <w:rPr>
                <w:rFonts w:hint="eastAsia"/>
                <w:sz w:val="20"/>
                <w:szCs w:val="20"/>
              </w:rPr>
              <w:t xml:space="preserve">38mm，厚度≥1.5mm管，挂架</w:t>
            </w:r>
            <w:r>
              <w:rPr>
                <w:rFonts w:ascii="Calibri" w:hAnsi="Calibri" w:cs="Calibri"/>
                <w:sz w:val="20"/>
                <w:szCs w:val="20"/>
              </w:rPr>
              <w:t xml:space="preserve">φ</w:t>
            </w:r>
            <w:r>
              <w:rPr>
                <w:rFonts w:hint="eastAsia"/>
                <w:sz w:val="20"/>
                <w:szCs w:val="20"/>
              </w:rPr>
              <w:t xml:space="preserve">4mm圆钢，配全钢可调节子弹脚；</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2</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540"/>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134</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紫外线消毒灯</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功率：≥36W，电压：220V。</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25</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540"/>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135</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灭蝇灯</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诱蝇灯管；功率：≥30W，电压：220V。</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42</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540"/>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136</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传送带封板1</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7300*300</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采用SUS304 厚度≥1.2mm不锈钢板。</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1</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540"/>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137</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传送带封板2</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950*400</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采用SUS304 厚度≥1.2mm不锈钢板。</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1</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540"/>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138</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传送带封板3</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7400*300</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采用SUS304 厚度≥1.2mm不锈钢板。</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1</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540"/>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139</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传送带封板4</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1050*300</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采用SUS304 厚度≥1.2mm不锈钢板。</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1</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540"/>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140</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不锈钢封墙钢1</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5000*2000</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采用SUS304 厚度≥1.2mm不锈钢板。</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10</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540"/>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141</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不锈钢封墙钢2</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13000*1300*2组</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采用SUS304 厚度≥1.2mm不锈钢板。</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34</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540"/>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142</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不锈钢封墙钢3</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8200*2000</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采用SUS304 厚度≥1.2mm不锈钢板。</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16.4</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540"/>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143</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不锈钢封墙钢4</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5500*2000*8组</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采用SUS304 厚度≥1.2mm不锈钢板。</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88</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540"/>
        </w:trPr>
        <w:tc>
          <w:tcPr>
            <w:tcBorders>
              <w:top w:val="single" w:color="auto"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144</w:t>
            </w:r>
            <w:r/>
          </w:p>
        </w:tc>
        <w:tc>
          <w:tcPr>
            <w:tcBorders>
              <w:top w:val="single" w:color="auto"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不锈钢封墙钢5</w:t>
            </w:r>
            <w:r/>
          </w:p>
        </w:tc>
        <w:tc>
          <w:tcPr>
            <w:tcBorders>
              <w:top w:val="single" w:color="auto"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8200*2000</w:t>
            </w:r>
            <w:r/>
          </w:p>
        </w:tc>
        <w:tc>
          <w:tcPr>
            <w:tcBorders>
              <w:top w:val="single" w:color="auto"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采用SUS304 厚度≥1.2mm不锈钢板。</w:t>
            </w:r>
            <w:r/>
          </w:p>
        </w:tc>
        <w:tc>
          <w:tcPr>
            <w:tcBorders>
              <w:top w:val="single" w:color="auto"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w:t>
            </w:r>
            <w:r/>
          </w:p>
        </w:tc>
        <w:tc>
          <w:tcPr>
            <w:tcBorders>
              <w:top w:val="single" w:color="auto"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16.4</w:t>
            </w:r>
            <w:r/>
          </w:p>
        </w:tc>
        <w:tc>
          <w:tcPr>
            <w:tcBorders>
              <w:top w:val="single" w:color="auto"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single" w:color="auto"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single" w:color="auto"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single" w:color="auto"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single" w:color="auto"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single" w:color="auto"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540"/>
        </w:trPr>
        <w:tc>
          <w:tcPr>
            <w:gridSpan w:val="2"/>
            <w:tcBorders>
              <w:top w:val="single" w:color="auto" w:sz="4" w:space="0"/>
              <w:left w:val="single" w:color="auto" w:sz="4" w:space="0"/>
              <w:bottom w:val="single" w:color="auto" w:sz="4" w:space="0"/>
              <w:right w:val="single" w:color="auto" w:sz="4" w:space="0"/>
            </w:tcBorders>
            <w:tcW w:w="2198" w:type="dxa"/>
            <w:vAlign w:val="center"/>
            <w:textDirection w:val="lrTb"/>
            <w:noWrap/>
          </w:tcPr>
          <w:p>
            <w:pPr>
              <w:rPr>
                <w:rFonts w:hint="eastAsia"/>
                <w:sz w:val="20"/>
                <w:szCs w:val="20"/>
              </w:rPr>
            </w:pPr>
            <w:r>
              <w:rPr>
                <w:rFonts w:hint="eastAsia"/>
                <w:sz w:val="20"/>
                <w:szCs w:val="20"/>
              </w:rPr>
              <w:t xml:space="preserve">总计：</w:t>
            </w:r>
            <w:r/>
          </w:p>
        </w:tc>
        <w:tc>
          <w:tcPr>
            <w:gridSpan w:val="10"/>
            <w:tcBorders>
              <w:top w:val="single" w:color="auto" w:sz="4" w:space="0"/>
              <w:left w:val="none" w:color="000000" w:sz="4" w:space="0"/>
              <w:bottom w:val="single" w:color="auto" w:sz="4" w:space="0"/>
              <w:right w:val="single" w:color="auto" w:sz="4" w:space="0"/>
            </w:tcBorders>
            <w:tcW w:w="13222"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r>
            <w:r/>
          </w:p>
        </w:tc>
      </w:tr>
    </w:tbl>
    <w:p>
      <w:pPr>
        <w:spacing w:line="360" w:lineRule="auto"/>
        <w:rPr>
          <w:rFonts w:hint="eastAsia"/>
          <w:b/>
          <w:bCs/>
          <w:u w:val="single"/>
        </w:rPr>
      </w:pPr>
      <w:r>
        <w:rPr>
          <w:rFonts w:hint="eastAsia"/>
          <w:b/>
          <w:bCs/>
          <w:u w:val="single"/>
        </w:rPr>
        <w:t xml:space="preserve">注：</w:t>
      </w:r>
      <w:r/>
    </w:p>
    <w:p>
      <w:pPr>
        <w:spacing w:line="360" w:lineRule="auto"/>
        <w:rPr>
          <w:rFonts w:hint="eastAsia"/>
          <w:b/>
          <w:bCs/>
          <w:u w:val="single"/>
        </w:rPr>
      </w:pPr>
      <w:r>
        <w:rPr>
          <w:rFonts w:hint="eastAsia"/>
          <w:b/>
          <w:bCs/>
          <w:u w:val="single"/>
        </w:rPr>
        <w:t xml:space="preserve">1、</w:t>
      </w:r>
      <w:r>
        <w:rPr>
          <w:b/>
          <w:bCs/>
          <w:u w:val="single"/>
        </w:rPr>
        <w:t xml:space="preserve">如果不提供</w:t>
      </w:r>
      <w:r>
        <w:rPr>
          <w:rFonts w:hint="eastAsia"/>
          <w:b/>
          <w:bCs/>
          <w:u w:val="single"/>
        </w:rPr>
        <w:t xml:space="preserve">明细</w:t>
      </w:r>
      <w:r>
        <w:rPr>
          <w:b/>
          <w:bCs/>
          <w:u w:val="single"/>
        </w:rPr>
        <w:t xml:space="preserve">报价将视为没有实质性响应</w:t>
      </w:r>
      <w:r>
        <w:rPr>
          <w:rFonts w:hint="eastAsia"/>
          <w:b/>
          <w:bCs/>
          <w:u w:val="single"/>
        </w:rPr>
        <w:t xml:space="preserve">招标</w:t>
      </w:r>
      <w:r>
        <w:rPr>
          <w:b/>
          <w:bCs/>
          <w:u w:val="single"/>
        </w:rPr>
        <w:t xml:space="preserve">文件。</w:t>
      </w:r>
      <w:r/>
    </w:p>
    <w:p>
      <w:pPr>
        <w:pStyle w:val="907"/>
        <w:spacing w:line="360" w:lineRule="auto"/>
        <w:rPr>
          <w:rFonts w:hint="eastAsia"/>
          <w:color w:val="auto"/>
          <w:lang w:val="zh-CN"/>
        </w:rPr>
      </w:pPr>
      <w:r>
        <w:rPr>
          <w:rFonts w:hint="eastAsia" w:cs="宋体"/>
          <w:b/>
          <w:bCs/>
          <w:color w:val="auto"/>
          <w:u w:val="single"/>
        </w:rPr>
        <w:t xml:space="preserve">2</w:t>
      </w:r>
      <w:r>
        <w:rPr>
          <w:rFonts w:hint="eastAsia" w:cs="宋体"/>
          <w:b/>
          <w:bCs/>
          <w:color w:val="auto"/>
          <w:u w:val="single"/>
        </w:rPr>
        <w:t xml:space="preserve">、本表行数可以按照项目分项情况增加。各项的详细规格、技术参数如表格中填写不下的，可以逐项另页描述。</w:t>
      </w:r>
      <w:r>
        <w:rPr>
          <w:rFonts w:cs="宋体"/>
          <w:b/>
          <w:bCs/>
          <w:color w:val="auto"/>
          <w:u w:val="single"/>
          <w:lang w:val="zh-CN"/>
        </w:rPr>
        <w:t xml:space="preserve"> </w:t>
      </w:r>
      <w:r>
        <w:rPr>
          <w:color w:val="auto"/>
          <w:lang w:val="zh-CN"/>
        </w:rPr>
        <w:t xml:space="preserve"> </w:t>
      </w:r>
      <w:r/>
    </w:p>
    <w:p>
      <w:pPr>
        <w:pStyle w:val="907"/>
        <w:spacing w:line="360" w:lineRule="auto"/>
        <w:rPr>
          <w:rFonts w:hint="eastAsia" w:cs="宋体"/>
          <w:b/>
          <w:bCs/>
          <w:color w:val="auto"/>
          <w:u w:val="single"/>
        </w:rPr>
      </w:pPr>
      <w:r>
        <w:rPr>
          <w:rFonts w:hint="eastAsia" w:cs="宋体"/>
          <w:b/>
          <w:bCs/>
          <w:color w:val="auto"/>
          <w:u w:val="single"/>
        </w:rPr>
        <w:t xml:space="preserve">3</w:t>
      </w:r>
      <w:r>
        <w:rPr>
          <w:rFonts w:hint="eastAsia" w:cs="宋体"/>
          <w:b/>
          <w:bCs/>
          <w:color w:val="auto"/>
          <w:u w:val="single"/>
        </w:rPr>
        <w:t xml:space="preserve">、本项目采购文件清单中所涉及的所有产品名称以及外购品尺寸仅做参考，采购文件清单中供应商所投产品需满足采购文件技术参数要求。</w:t>
      </w:r>
      <w:r>
        <w:rPr>
          <w:rFonts w:cs="宋体"/>
          <w:b/>
          <w:bCs/>
          <w:color w:val="auto"/>
          <w:u w:val="single"/>
        </w:rPr>
        <w:t xml:space="preserve"> </w:t>
      </w:r>
      <w:r/>
    </w:p>
    <w:p>
      <w:pPr>
        <w:spacing w:before="25" w:after="25" w:line="360" w:lineRule="auto"/>
        <w:rPr>
          <w:rFonts w:hint="eastAsia" w:cs="楷体"/>
        </w:rPr>
      </w:pPr>
      <w:r>
        <w:rPr>
          <w:rFonts w:cs="楷体"/>
        </w:rPr>
        <w:t xml:space="preserve">                </w:t>
      </w:r>
      <w:r>
        <w:rPr>
          <w:rFonts w:cs="楷体"/>
        </w:rPr>
        <w:t xml:space="preserve">                </w:t>
      </w:r>
      <w:r>
        <w:rPr>
          <w:rFonts w:hint="eastAsia" w:cs="楷体"/>
        </w:rPr>
        <w:t xml:space="preserve">                                    </w:t>
      </w:r>
      <w:r>
        <w:rPr>
          <w:rFonts w:cs="楷体"/>
        </w:rPr>
        <w:t xml:space="preserve">  </w:t>
      </w:r>
      <w:r>
        <w:rPr>
          <w:rFonts w:hint="eastAsia"/>
          <w:bCs/>
        </w:rPr>
        <w:t xml:space="preserve">投标单位名称：</w:t>
      </w:r>
      <w:r>
        <w:rPr>
          <w:rFonts w:hint="eastAsia" w:cs="楷体"/>
        </w:rPr>
        <w:t xml:space="preserve">（加盖CA电子公章） </w:t>
      </w:r>
      <w:r>
        <w:rPr>
          <w:rFonts w:hint="eastAsia"/>
          <w:bCs/>
        </w:rPr>
        <w:t xml:space="preserve"> </w:t>
      </w:r>
      <w:r>
        <w:rPr>
          <w:rFonts w:hint="eastAsia" w:cs="楷体"/>
        </w:rPr>
        <w:t xml:space="preserve"> </w:t>
      </w:r>
      <w:r/>
    </w:p>
    <w:p>
      <w:pPr>
        <w:jc w:val="center"/>
        <w:spacing w:line="400" w:lineRule="exact"/>
        <w:rPr>
          <w:rFonts w:hint="eastAsia" w:cs="楷体"/>
        </w:rPr>
      </w:pPr>
      <w:r>
        <w:rPr>
          <w:rFonts w:hint="eastAsia" w:cs="楷体"/>
        </w:rPr>
        <w:t xml:space="preserve">     </w:t>
      </w:r>
      <w:r>
        <w:rPr>
          <w:rFonts w:cs="楷体"/>
        </w:rPr>
        <w:t xml:space="preserve">                </w:t>
      </w:r>
      <w:r>
        <w:rPr>
          <w:rFonts w:hint="eastAsia" w:cs="楷体"/>
        </w:rPr>
        <w:t xml:space="preserve">                       </w:t>
      </w:r>
      <w:r>
        <w:rPr>
          <w:rFonts w:hint="eastAsia" w:cs="楷体"/>
        </w:rPr>
        <w:t xml:space="preserve"> </w:t>
      </w:r>
      <w:r>
        <w:rPr>
          <w:rFonts w:cs="楷体"/>
        </w:rPr>
        <w:t xml:space="preserve">   </w:t>
      </w:r>
      <w:r>
        <w:rPr>
          <w:rFonts w:hint="eastAsia" w:cs="楷体"/>
        </w:rPr>
        <w:t xml:space="preserve">日期：     年    月    日</w:t>
      </w:r>
      <w:r/>
    </w:p>
    <w:p>
      <w:pPr>
        <w:pStyle w:val="907"/>
        <w:jc w:val="center"/>
        <w:rPr>
          <w:rFonts w:hint="eastAsia" w:ascii="宋体" w:hAnsi="宋体"/>
          <w:color w:val="auto"/>
        </w:rPr>
      </w:pPr>
      <w:r>
        <w:rPr>
          <w:rFonts w:hint="eastAsia" w:ascii="宋体" w:hAnsi="宋体"/>
          <w:b/>
          <w:color w:val="auto"/>
          <w:spacing w:val="20"/>
          <w:sz w:val="32"/>
          <w:szCs w:val="32"/>
        </w:rPr>
        <w:t xml:space="preserve">三、报价明细表</w:t>
      </w:r>
      <w:r>
        <w:rPr>
          <w:rFonts w:ascii="宋体" w:hAnsi="宋体"/>
          <w:b/>
          <w:color w:val="auto"/>
          <w:spacing w:val="20"/>
          <w:sz w:val="32"/>
          <w:szCs w:val="32"/>
        </w:rPr>
        <w:t xml:space="preserve">（实质性格式）</w:t>
      </w:r>
      <w:r/>
    </w:p>
    <w:p>
      <w:pPr>
        <w:ind w:firstLine="720"/>
        <w:tabs>
          <w:tab w:val="left" w:pos="1800" w:leader="none"/>
          <w:tab w:val="left" w:pos="5580" w:leader="none"/>
        </w:tabs>
        <w:rPr>
          <w:rFonts w:hint="eastAsia"/>
          <w:u w:val="single"/>
        </w:rPr>
      </w:pPr>
      <w:r>
        <w:t xml:space="preserve">项目编号</w:t>
      </w:r>
      <w:r>
        <w:rPr>
          <w:rFonts w:hint="eastAsia"/>
        </w:rPr>
        <w:t xml:space="preserve">/包号</w:t>
      </w:r>
      <w:r>
        <w:t xml:space="preserve">：</w:t>
      </w:r>
      <w:r>
        <w:rPr>
          <w:rFonts w:hint="eastAsia"/>
          <w:u w:val="single"/>
        </w:rPr>
        <w:t xml:space="preserve">JSZC-320412-XYCX-G2026-0002</w:t>
      </w:r>
      <w:r>
        <w:rPr>
          <w:rFonts w:hint="eastAsia"/>
          <w:u w:val="single"/>
        </w:rPr>
        <w:t xml:space="preserve">/二包</w:t>
      </w:r>
      <w:r>
        <w:rPr>
          <w:u w:val="single"/>
        </w:rPr>
        <w:t xml:space="preserve"> </w:t>
      </w:r>
      <w:r>
        <w:rPr>
          <w:rFonts w:hint="eastAsia"/>
          <w:u w:val="single"/>
        </w:rPr>
        <w:t xml:space="preserve"> </w:t>
      </w:r>
      <w:r/>
    </w:p>
    <w:p>
      <w:pPr>
        <w:ind w:firstLine="720"/>
        <w:tabs>
          <w:tab w:val="left" w:pos="1800" w:leader="none"/>
          <w:tab w:val="left" w:pos="5580" w:leader="none"/>
        </w:tabs>
        <w:rPr>
          <w:rFonts w:hint="eastAsia"/>
        </w:rPr>
      </w:pPr>
      <w:r>
        <w:t xml:space="preserve">项目名称：</w:t>
      </w:r>
      <w:r>
        <w:rPr>
          <w:rFonts w:hint="eastAsia"/>
        </w:rPr>
        <w:t xml:space="preserve">江苏理工学院武进绿建区协同创新园新建工程二期项目9号楼、33号楼厨房设备采购</w:t>
      </w:r>
      <w:r>
        <w:t xml:space="preserve"> </w:t>
      </w:r>
      <w:r>
        <w:rPr>
          <w:rFonts w:hint="eastAsia"/>
        </w:rPr>
        <w:t xml:space="preserve">                              </w:t>
      </w:r>
      <w:r/>
    </w:p>
    <w:p>
      <w:pPr>
        <w:ind w:firstLine="720"/>
        <w:tabs>
          <w:tab w:val="left" w:pos="1800" w:leader="none"/>
          <w:tab w:val="left" w:pos="5580" w:leader="none"/>
        </w:tabs>
        <w:rPr>
          <w:rFonts w:hint="eastAsia"/>
        </w:rPr>
      </w:pPr>
      <w:r>
        <w:rPr>
          <w:rFonts w:hint="eastAsia"/>
        </w:rPr>
        <w:t xml:space="preserve">报价单位：元</w:t>
      </w:r>
      <w:bookmarkEnd w:id="502"/>
      <w:r/>
    </w:p>
    <w:tbl>
      <w:tblPr>
        <w:tblW w:w="15021" w:type="dxa"/>
        <w:tblLook w:val="04A0" w:firstRow="1" w:lastRow="0" w:firstColumn="1" w:lastColumn="0" w:noHBand="0" w:noVBand="1"/>
      </w:tblPr>
      <w:tblGrid>
        <w:gridCol w:w="626"/>
        <w:gridCol w:w="1637"/>
        <w:gridCol w:w="1916"/>
        <w:gridCol w:w="3992"/>
        <w:gridCol w:w="680"/>
        <w:gridCol w:w="631"/>
        <w:gridCol w:w="1630"/>
        <w:gridCol w:w="736"/>
        <w:gridCol w:w="1047"/>
        <w:gridCol w:w="708"/>
        <w:gridCol w:w="709"/>
        <w:gridCol w:w="709"/>
      </w:tblGrid>
      <w:tr>
        <w:trPr/>
        <w:tc>
          <w:tcPr>
            <w:tcBorders>
              <w:top w:val="single" w:color="auto" w:sz="4" w:space="0"/>
              <w:left w:val="single" w:color="auto" w:sz="4" w:space="0"/>
              <w:bottom w:val="single" w:color="auto" w:sz="4" w:space="0"/>
              <w:right w:val="single" w:color="auto" w:sz="4" w:space="0"/>
            </w:tcBorders>
            <w:tcW w:w="626" w:type="dxa"/>
            <w:vAlign w:val="center"/>
            <w:textDirection w:val="lrTb"/>
            <w:noWrap w:val="false"/>
          </w:tcPr>
          <w:p>
            <w:pPr>
              <w:jc w:val="center"/>
              <w:rPr>
                <w:rFonts w:hint="eastAsia"/>
                <w:b/>
                <w:bCs/>
                <w:sz w:val="20"/>
                <w:szCs w:val="20"/>
              </w:rPr>
            </w:pPr>
            <w:r>
              <w:rPr>
                <w:rFonts w:hint="eastAsia"/>
                <w:b/>
                <w:bCs/>
                <w:sz w:val="20"/>
                <w:szCs w:val="20"/>
              </w:rPr>
              <w:t xml:space="preserve">序号</w:t>
            </w:r>
            <w:r/>
          </w:p>
        </w:tc>
        <w:tc>
          <w:tcPr>
            <w:tcBorders>
              <w:top w:val="single" w:color="auto" w:sz="4" w:space="0"/>
              <w:left w:val="none" w:color="000000" w:sz="4" w:space="0"/>
              <w:bottom w:val="single" w:color="auto" w:sz="4" w:space="0"/>
              <w:right w:val="single" w:color="auto" w:sz="4" w:space="0"/>
            </w:tcBorders>
            <w:tcW w:w="1637" w:type="dxa"/>
            <w:vAlign w:val="center"/>
            <w:textDirection w:val="lrTb"/>
            <w:noWrap w:val="false"/>
          </w:tcPr>
          <w:p>
            <w:pPr>
              <w:jc w:val="center"/>
              <w:rPr>
                <w:rFonts w:hint="eastAsia"/>
                <w:b/>
                <w:bCs/>
                <w:sz w:val="20"/>
                <w:szCs w:val="20"/>
              </w:rPr>
            </w:pPr>
            <w:r>
              <w:rPr>
                <w:rFonts w:hint="eastAsia"/>
                <w:b/>
                <w:bCs/>
                <w:sz w:val="20"/>
                <w:szCs w:val="20"/>
              </w:rPr>
              <w:t xml:space="preserve">产品名称</w:t>
            </w:r>
            <w:r/>
          </w:p>
        </w:tc>
        <w:tc>
          <w:tcPr>
            <w:tcBorders>
              <w:top w:val="single" w:color="auto" w:sz="4" w:space="0"/>
              <w:left w:val="none" w:color="000000" w:sz="4" w:space="0"/>
              <w:bottom w:val="single" w:color="auto" w:sz="4" w:space="0"/>
              <w:right w:val="single" w:color="auto" w:sz="4" w:space="0"/>
            </w:tcBorders>
            <w:tcW w:w="1916" w:type="dxa"/>
            <w:vAlign w:val="center"/>
            <w:textDirection w:val="lrTb"/>
            <w:noWrap w:val="false"/>
          </w:tcPr>
          <w:p>
            <w:pPr>
              <w:jc w:val="center"/>
              <w:rPr>
                <w:rFonts w:hint="eastAsia"/>
                <w:b/>
                <w:bCs/>
                <w:sz w:val="20"/>
                <w:szCs w:val="20"/>
              </w:rPr>
            </w:pPr>
            <w:r>
              <w:rPr>
                <w:rFonts w:hint="eastAsia"/>
                <w:b/>
                <w:bCs/>
                <w:sz w:val="20"/>
                <w:szCs w:val="20"/>
              </w:rPr>
              <w:t xml:space="preserve">规格（mm）</w:t>
            </w:r>
            <w:r/>
          </w:p>
          <w:p>
            <w:pPr>
              <w:jc w:val="center"/>
              <w:rPr>
                <w:rFonts w:hint="eastAsia"/>
                <w:b/>
                <w:bCs/>
                <w:sz w:val="20"/>
                <w:szCs w:val="20"/>
              </w:rPr>
            </w:pPr>
            <w:r>
              <w:rPr>
                <w:rFonts w:hint="eastAsia"/>
                <w:b/>
                <w:bCs/>
                <w:sz w:val="20"/>
                <w:szCs w:val="20"/>
              </w:rPr>
              <w:t xml:space="preserve">（如有）</w:t>
            </w:r>
            <w:r/>
          </w:p>
        </w:tc>
        <w:tc>
          <w:tcPr>
            <w:tcBorders>
              <w:top w:val="single" w:color="auto" w:sz="4" w:space="0"/>
              <w:left w:val="none" w:color="000000" w:sz="4" w:space="0"/>
              <w:bottom w:val="single" w:color="auto" w:sz="4" w:space="0"/>
              <w:right w:val="single" w:color="auto" w:sz="4" w:space="0"/>
            </w:tcBorders>
            <w:tcW w:w="3992" w:type="dxa"/>
            <w:vAlign w:val="center"/>
            <w:textDirection w:val="lrTb"/>
            <w:noWrap w:val="false"/>
          </w:tcPr>
          <w:p>
            <w:pPr>
              <w:jc w:val="center"/>
              <w:rPr>
                <w:rFonts w:hint="eastAsia"/>
                <w:b/>
                <w:bCs/>
                <w:sz w:val="20"/>
                <w:szCs w:val="20"/>
              </w:rPr>
            </w:pPr>
            <w:r>
              <w:rPr>
                <w:rFonts w:hint="eastAsia"/>
                <w:b/>
                <w:bCs/>
                <w:sz w:val="20"/>
                <w:szCs w:val="20"/>
              </w:rPr>
              <w:t xml:space="preserve">技术参数要求</w:t>
            </w:r>
            <w:r/>
          </w:p>
        </w:tc>
        <w:tc>
          <w:tcPr>
            <w:tcBorders>
              <w:top w:val="single" w:color="auto" w:sz="4" w:space="0"/>
              <w:left w:val="none" w:color="000000" w:sz="4" w:space="0"/>
              <w:bottom w:val="single" w:color="auto" w:sz="4" w:space="0"/>
              <w:right w:val="single" w:color="auto" w:sz="4" w:space="0"/>
            </w:tcBorders>
            <w:tcW w:w="680" w:type="dxa"/>
            <w:vAlign w:val="center"/>
            <w:textDirection w:val="lrTb"/>
            <w:noWrap/>
          </w:tcPr>
          <w:p>
            <w:pPr>
              <w:jc w:val="center"/>
              <w:rPr>
                <w:rFonts w:hint="eastAsia"/>
                <w:b/>
                <w:bCs/>
                <w:sz w:val="20"/>
                <w:szCs w:val="20"/>
              </w:rPr>
            </w:pPr>
            <w:r>
              <w:rPr>
                <w:rFonts w:hint="eastAsia"/>
                <w:b/>
                <w:bCs/>
                <w:sz w:val="20"/>
                <w:szCs w:val="20"/>
              </w:rPr>
              <w:t xml:space="preserve">单位</w:t>
            </w:r>
            <w:r/>
          </w:p>
        </w:tc>
        <w:tc>
          <w:tcPr>
            <w:tcBorders>
              <w:top w:val="single" w:color="auto" w:sz="4" w:space="0"/>
              <w:left w:val="none" w:color="000000" w:sz="4" w:space="0"/>
              <w:bottom w:val="single" w:color="auto" w:sz="4" w:space="0"/>
              <w:right w:val="single" w:color="auto" w:sz="4" w:space="0"/>
            </w:tcBorders>
            <w:tcW w:w="631" w:type="dxa"/>
            <w:vAlign w:val="center"/>
            <w:textDirection w:val="lrTb"/>
            <w:noWrap w:val="false"/>
          </w:tcPr>
          <w:p>
            <w:pPr>
              <w:jc w:val="center"/>
              <w:rPr>
                <w:rFonts w:hint="eastAsia"/>
                <w:b/>
                <w:bCs/>
                <w:sz w:val="20"/>
                <w:szCs w:val="20"/>
              </w:rPr>
            </w:pPr>
            <w:r>
              <w:rPr>
                <w:rFonts w:hint="eastAsia"/>
                <w:b/>
                <w:bCs/>
                <w:sz w:val="20"/>
                <w:szCs w:val="20"/>
              </w:rPr>
              <w:t xml:space="preserve">数量</w:t>
            </w:r>
            <w:r/>
          </w:p>
        </w:tc>
        <w:tc>
          <w:tcPr>
            <w:tcBorders>
              <w:top w:val="single" w:color="auto" w:sz="4" w:space="0"/>
              <w:left w:val="none" w:color="000000" w:sz="4" w:space="0"/>
              <w:bottom w:val="single" w:color="auto" w:sz="4" w:space="0"/>
              <w:right w:val="single" w:color="auto" w:sz="4" w:space="0"/>
            </w:tcBorders>
            <w:tcW w:w="1630" w:type="dxa"/>
            <w:vAlign w:val="center"/>
            <w:textDirection w:val="lrTb"/>
            <w:noWrap w:val="false"/>
          </w:tcPr>
          <w:p>
            <w:pPr>
              <w:jc w:val="center"/>
              <w:rPr>
                <w:rFonts w:hint="eastAsia"/>
                <w:b/>
                <w:bCs/>
                <w:sz w:val="20"/>
                <w:szCs w:val="20"/>
              </w:rPr>
            </w:pPr>
            <w:r>
              <w:rPr>
                <w:rFonts w:hint="eastAsia"/>
                <w:b/>
                <w:bCs/>
                <w:sz w:val="20"/>
                <w:szCs w:val="20"/>
              </w:rPr>
              <w:t xml:space="preserve">生产厂商</w:t>
            </w:r>
            <w:r/>
          </w:p>
        </w:tc>
        <w:tc>
          <w:tcPr>
            <w:tcBorders>
              <w:top w:val="single" w:color="auto" w:sz="4" w:space="0"/>
              <w:left w:val="none" w:color="000000" w:sz="4" w:space="0"/>
              <w:bottom w:val="single" w:color="auto" w:sz="4" w:space="0"/>
              <w:right w:val="single" w:color="auto" w:sz="4" w:space="0"/>
            </w:tcBorders>
            <w:tcW w:w="736" w:type="dxa"/>
            <w:vAlign w:val="center"/>
            <w:textDirection w:val="lrTb"/>
            <w:noWrap w:val="false"/>
          </w:tcPr>
          <w:p>
            <w:pPr>
              <w:jc w:val="center"/>
              <w:rPr>
                <w:rFonts w:hint="eastAsia"/>
                <w:b/>
                <w:bCs/>
                <w:sz w:val="20"/>
                <w:szCs w:val="20"/>
              </w:rPr>
            </w:pPr>
            <w:r>
              <w:rPr>
                <w:rFonts w:hint="eastAsia"/>
                <w:b/>
                <w:bCs/>
                <w:sz w:val="20"/>
                <w:szCs w:val="20"/>
              </w:rPr>
              <w:t xml:space="preserve">品牌</w:t>
            </w:r>
            <w:r/>
          </w:p>
        </w:tc>
        <w:tc>
          <w:tcPr>
            <w:tcBorders>
              <w:top w:val="single" w:color="auto" w:sz="4" w:space="0"/>
              <w:left w:val="none" w:color="000000" w:sz="4" w:space="0"/>
              <w:bottom w:val="single" w:color="auto" w:sz="4" w:space="0"/>
              <w:right w:val="single" w:color="auto" w:sz="4" w:space="0"/>
            </w:tcBorders>
            <w:tcW w:w="1047" w:type="dxa"/>
            <w:vAlign w:val="center"/>
            <w:textDirection w:val="lrTb"/>
            <w:noWrap w:val="false"/>
          </w:tcPr>
          <w:p>
            <w:pPr>
              <w:jc w:val="center"/>
              <w:rPr>
                <w:rFonts w:hint="eastAsia"/>
                <w:b/>
                <w:bCs/>
                <w:sz w:val="20"/>
                <w:szCs w:val="20"/>
              </w:rPr>
            </w:pPr>
            <w:r>
              <w:rPr>
                <w:rFonts w:hint="eastAsia"/>
                <w:b/>
                <w:bCs/>
                <w:sz w:val="20"/>
                <w:szCs w:val="20"/>
              </w:rPr>
              <w:t xml:space="preserve">型号</w:t>
            </w:r>
            <w:r/>
          </w:p>
          <w:p>
            <w:pPr>
              <w:rPr>
                <w:rFonts w:hint="eastAsia"/>
                <w:b/>
                <w:bCs/>
                <w:sz w:val="20"/>
                <w:szCs w:val="20"/>
              </w:rPr>
            </w:pPr>
            <w:r>
              <w:rPr>
                <w:rFonts w:hint="eastAsia"/>
                <w:b/>
                <w:bCs/>
                <w:sz w:val="20"/>
                <w:szCs w:val="20"/>
              </w:rPr>
              <w:t xml:space="preserve">（如有）</w:t>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rPr>
                <w:rFonts w:hint="eastAsia"/>
                <w:b/>
                <w:bCs/>
                <w:sz w:val="20"/>
                <w:szCs w:val="20"/>
              </w:rPr>
            </w:pPr>
            <w:r>
              <w:rPr>
                <w:rFonts w:hint="eastAsia"/>
                <w:b/>
                <w:bCs/>
                <w:sz w:val="20"/>
                <w:szCs w:val="20"/>
              </w:rPr>
              <w:t xml:space="preserve">单价</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rPr>
                <w:rFonts w:hint="eastAsia"/>
                <w:b/>
                <w:bCs/>
                <w:sz w:val="20"/>
                <w:szCs w:val="20"/>
              </w:rPr>
            </w:pPr>
            <w:r>
              <w:rPr>
                <w:rFonts w:hint="eastAsia"/>
                <w:b/>
                <w:bCs/>
                <w:sz w:val="20"/>
                <w:szCs w:val="20"/>
              </w:rPr>
              <w:t xml:space="preserve">合价</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rPr>
                <w:rFonts w:hint="eastAsia"/>
                <w:b/>
                <w:bCs/>
                <w:sz w:val="20"/>
                <w:szCs w:val="20"/>
              </w:rPr>
            </w:pPr>
            <w:r>
              <w:rPr>
                <w:rFonts w:hint="eastAsia"/>
                <w:b/>
                <w:bCs/>
                <w:sz w:val="20"/>
                <w:szCs w:val="20"/>
              </w:rPr>
              <w:t xml:space="preserve">备注</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b/>
                <w:bCs/>
                <w:sz w:val="20"/>
                <w:szCs w:val="20"/>
              </w:rPr>
            </w:pPr>
            <w:r>
              <w:rPr>
                <w:rFonts w:hint="eastAsia"/>
                <w:b/>
                <w:bCs/>
                <w:sz w:val="20"/>
                <w:szCs w:val="20"/>
              </w:rPr>
              <w:t xml:space="preserve">一</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val="false"/>
          </w:tcPr>
          <w:p>
            <w:pPr>
              <w:rPr>
                <w:rFonts w:hint="eastAsia"/>
                <w:b/>
                <w:bCs/>
                <w:sz w:val="20"/>
                <w:szCs w:val="20"/>
              </w:rPr>
            </w:pPr>
            <w:r>
              <w:rPr>
                <w:rFonts w:hint="eastAsia"/>
                <w:b/>
                <w:bCs/>
                <w:sz w:val="20"/>
                <w:szCs w:val="20"/>
              </w:rPr>
              <w:t xml:space="preserve">厨房灭火系统</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680"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631"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rPr>
            </w:pPr>
            <w:r>
              <w:rPr>
                <w:rFonts w:hint="eastAsia"/>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1</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厨房灭火系统1</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color w:val="ee0000"/>
                <w:sz w:val="20"/>
                <w:szCs w:val="20"/>
              </w:rPr>
            </w:pPr>
            <w:r>
              <w:rPr>
                <w:rFonts w:hint="eastAsia"/>
                <w:sz w:val="20"/>
                <w:szCs w:val="20"/>
              </w:rPr>
              <w:t xml:space="preserve">1、结构类型：悬挂式，动作温度（℃）：180±3；双瓶组</w:t>
            </w:r>
            <w:r>
              <w:rPr>
                <w:rFonts w:hint="eastAsia"/>
                <w:sz w:val="20"/>
                <w:szCs w:val="20"/>
              </w:rPr>
              <w:br/>
              <w:t xml:space="preserve">2、主要配件：驱动瓶、药剂罐、水流控制阀、感温装置、控制箱、食用油专用灭火药剂及释放机构等，材料全部采用不锈钢、铜及少量合金铝，并经过防腐处理；</w:t>
            </w:r>
            <w:r>
              <w:rPr>
                <w:rFonts w:hint="eastAsia"/>
                <w:sz w:val="20"/>
                <w:szCs w:val="20"/>
              </w:rPr>
              <w:br/>
              <w:t xml:space="preserve">3、工作原理：采用机械、电控相结合传动，全天候 24 小时监控，可连接消防报警系统。火情发生后，灭火装置自动启动扑灭火焰，在灭火时打开声光报警、水流阀同时进行。设有机械应急启动装置，当手动、自动启动不成功时使用；</w:t>
            </w:r>
            <w:r>
              <w:rPr>
                <w:rFonts w:hint="eastAsia"/>
                <w:sz w:val="20"/>
                <w:szCs w:val="20"/>
              </w:rPr>
              <w:br/>
              <w:t xml:space="preserve">4、灭火剂名称：食用油专用灭火药剂，</w:t>
            </w:r>
            <w:r>
              <w:rPr>
                <w:color w:val="ee0000"/>
                <w:sz w:val="20"/>
                <w:szCs w:val="20"/>
              </w:rPr>
              <w:t xml:space="preserve">单瓶重量：≥12KG，喷射时间：≥10S，喷射延迟时间：≤3S；</w:t>
            </w:r>
            <w:r/>
          </w:p>
          <w:p>
            <w:pPr>
              <w:rPr>
                <w:rFonts w:hint="eastAsia"/>
                <w:sz w:val="20"/>
                <w:szCs w:val="20"/>
              </w:rPr>
            </w:pPr>
            <w:r>
              <w:rPr>
                <w:rFonts w:hint="eastAsia"/>
                <w:sz w:val="20"/>
                <w:szCs w:val="20"/>
              </w:rPr>
              <w:t xml:space="preserve">5、该药剂无毒、无污染、易清洗，同时灭火装置需满足以下要求：</w:t>
            </w:r>
            <w:r>
              <w:rPr>
                <w:rFonts w:hint="eastAsia"/>
                <w:sz w:val="20"/>
                <w:szCs w:val="20"/>
              </w:rPr>
              <w:br/>
              <w:t xml:space="preserve">6、具有水冷却功能，在灭火剂完全喷射后，水流联动阀立即启动；</w:t>
            </w:r>
            <w:r>
              <w:rPr>
                <w:rFonts w:hint="eastAsia"/>
                <w:sz w:val="20"/>
                <w:szCs w:val="20"/>
              </w:rPr>
              <w:br/>
              <w:t xml:space="preserve">7、具有自动启动、手动启动、机械启动功能，且不会复燃，能提供消防中控信号及燃气切断功能信号。</w:t>
            </w:r>
            <w:r/>
          </w:p>
        </w:tc>
        <w:tc>
          <w:tcPr>
            <w:tcBorders>
              <w:top w:val="none" w:color="000000" w:sz="4" w:space="0"/>
              <w:left w:val="none" w:color="000000" w:sz="4" w:space="0"/>
              <w:bottom w:val="single" w:color="auto" w:sz="4" w:space="0"/>
              <w:right w:val="single" w:color="auto"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31" w:type="dxa"/>
            <w:vAlign w:val="center"/>
            <w:textDirection w:val="lrTb"/>
            <w:noWrap/>
          </w:tcPr>
          <w:p>
            <w:pPr>
              <w:jc w:val="center"/>
              <w:rPr>
                <w:rFonts w:hint="eastAsia"/>
                <w:sz w:val="20"/>
                <w:szCs w:val="20"/>
              </w:rPr>
            </w:pPr>
            <w:r>
              <w:rPr>
                <w:rFonts w:hint="eastAsia"/>
                <w:sz w:val="20"/>
                <w:szCs w:val="20"/>
              </w:rPr>
              <w:t xml:space="preserve">9</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2</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厨房灭火系统2</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1、结构类型：悬挂式，动作温度（℃）：180±3；三瓶组</w:t>
            </w:r>
            <w:r>
              <w:rPr>
                <w:rFonts w:hint="eastAsia"/>
                <w:sz w:val="20"/>
                <w:szCs w:val="20"/>
              </w:rPr>
              <w:br/>
              <w:t xml:space="preserve">2、主要配件：驱动瓶、药剂罐、水流控制阀、感温装置、控制箱、食用油专用灭火药剂及释放机构等，材料全部采用不锈</w:t>
            </w:r>
            <w:r>
              <w:rPr>
                <w:rFonts w:hint="eastAsia"/>
                <w:sz w:val="20"/>
                <w:szCs w:val="20"/>
              </w:rPr>
              <w:t xml:space="preserve">钢、铜及少量合金铝，并经过防腐处理；</w:t>
            </w:r>
            <w:r>
              <w:rPr>
                <w:rFonts w:hint="eastAsia"/>
                <w:sz w:val="20"/>
                <w:szCs w:val="20"/>
              </w:rPr>
              <w:br/>
              <w:t xml:space="preserve">3、工作原理：采用机械、电控相结合传动，全天候 24 小时监控，可连接消防报警系统。火情发生后，灭火装置自动启动扑灭火焰，在灭火时打开声光报警、水流阀同时进行。设有机械应急启动装置，当手动、自动启动不成功时使用；</w:t>
            </w:r>
            <w:r>
              <w:rPr>
                <w:rFonts w:hint="eastAsia"/>
                <w:sz w:val="20"/>
                <w:szCs w:val="20"/>
              </w:rPr>
              <w:br/>
              <w:t xml:space="preserve">4、灭火剂名称：食用油专用灭火药剂，</w:t>
            </w:r>
            <w:r>
              <w:rPr>
                <w:color w:val="ee0000"/>
                <w:sz w:val="20"/>
                <w:szCs w:val="20"/>
              </w:rPr>
              <w:t xml:space="preserve">单瓶重量：≥12KG，喷射时间：≥10S，喷射延迟时间：≤3S</w:t>
            </w:r>
            <w:r>
              <w:rPr>
                <w:rFonts w:hint="eastAsia"/>
                <w:color w:val="ee0000"/>
                <w:sz w:val="20"/>
                <w:szCs w:val="20"/>
              </w:rPr>
              <w:t xml:space="preserve">；</w:t>
            </w:r>
            <w:r>
              <w:rPr>
                <w:rFonts w:hint="eastAsia"/>
                <w:color w:val="ee0000"/>
                <w:sz w:val="20"/>
                <w:szCs w:val="20"/>
              </w:rPr>
              <w:br/>
            </w:r>
            <w:r>
              <w:rPr>
                <w:rFonts w:hint="eastAsia"/>
                <w:sz w:val="20"/>
                <w:szCs w:val="20"/>
              </w:rPr>
              <w:t xml:space="preserve">5、该药剂无毒、无污染、易清洗，同时灭火装置需满足以下要求：</w:t>
            </w:r>
            <w:r>
              <w:rPr>
                <w:rFonts w:hint="eastAsia"/>
                <w:sz w:val="20"/>
                <w:szCs w:val="20"/>
              </w:rPr>
              <w:br/>
              <w:t xml:space="preserve">6、具有水冷却功能，在灭火剂完全喷射后，水流联动阀立即启动；</w:t>
            </w:r>
            <w:r>
              <w:rPr>
                <w:rFonts w:hint="eastAsia"/>
                <w:sz w:val="20"/>
                <w:szCs w:val="20"/>
              </w:rPr>
              <w:br/>
              <w:t xml:space="preserve">7、具有自动启动、手动启动、机械启动功能，且不会复燃，能提供消防中控信号及燃气切断功能信号。</w:t>
            </w:r>
            <w:r/>
          </w:p>
        </w:tc>
        <w:tc>
          <w:tcPr>
            <w:tcBorders>
              <w:top w:val="none" w:color="000000" w:sz="4" w:space="0"/>
              <w:left w:val="none" w:color="000000" w:sz="4" w:space="0"/>
              <w:bottom w:val="single" w:color="auto" w:sz="4" w:space="0"/>
              <w:right w:val="single" w:color="auto"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31" w:type="dxa"/>
            <w:vAlign w:val="center"/>
            <w:textDirection w:val="lrTb"/>
            <w:noWrap/>
          </w:tcPr>
          <w:p>
            <w:pPr>
              <w:jc w:val="center"/>
              <w:rPr>
                <w:rFonts w:hint="eastAsia"/>
                <w:sz w:val="20"/>
                <w:szCs w:val="20"/>
              </w:rPr>
            </w:pPr>
            <w:r>
              <w:rPr>
                <w:rFonts w:hint="eastAsia"/>
                <w:sz w:val="20"/>
                <w:szCs w:val="20"/>
              </w:rPr>
              <w:t xml:space="preserve">2</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b/>
                <w:bCs/>
                <w:sz w:val="20"/>
                <w:szCs w:val="20"/>
              </w:rPr>
            </w:pPr>
            <w:r>
              <w:rPr>
                <w:rFonts w:hint="eastAsia"/>
                <w:b/>
                <w:bCs/>
                <w:sz w:val="20"/>
                <w:szCs w:val="20"/>
              </w:rPr>
              <w:t xml:space="preserve">二</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b/>
                <w:bCs/>
                <w:sz w:val="20"/>
                <w:szCs w:val="20"/>
              </w:rPr>
            </w:pPr>
            <w:r>
              <w:rPr>
                <w:rFonts w:hint="eastAsia"/>
                <w:b/>
                <w:bCs/>
                <w:sz w:val="20"/>
                <w:szCs w:val="20"/>
              </w:rPr>
              <w:t xml:space="preserve">厨房货架、工作台</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680"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631"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rPr>
            </w:pPr>
            <w:r>
              <w:rPr>
                <w:rFonts w:hint="eastAsia"/>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3</w:t>
            </w:r>
            <w:r/>
          </w:p>
        </w:tc>
        <w:tc>
          <w:tcPr>
            <w:tcBorders>
              <w:top w:val="none" w:color="000000" w:sz="4" w:space="0"/>
              <w:left w:val="none" w:color="000000" w:sz="4" w:space="0"/>
              <w:bottom w:val="single" w:color="000000" w:sz="4" w:space="0"/>
              <w:right w:val="single" w:color="000000" w:sz="4" w:space="0"/>
            </w:tcBorders>
            <w:tcW w:w="1637" w:type="dxa"/>
            <w:vAlign w:val="center"/>
            <w:textDirection w:val="lrTb"/>
            <w:noWrap/>
          </w:tcPr>
          <w:p>
            <w:pPr>
              <w:rPr>
                <w:rFonts w:hint="eastAsia"/>
                <w:sz w:val="20"/>
                <w:szCs w:val="20"/>
              </w:rPr>
            </w:pPr>
            <w:r>
              <w:rPr>
                <w:rFonts w:hint="eastAsia"/>
                <w:sz w:val="20"/>
                <w:szCs w:val="20"/>
              </w:rPr>
              <w:t xml:space="preserve">四层冲孔货架1</w:t>
            </w: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tcPr>
          <w:p>
            <w:pPr>
              <w:rPr>
                <w:rFonts w:hint="eastAsia"/>
                <w:sz w:val="20"/>
                <w:szCs w:val="20"/>
              </w:rPr>
            </w:pPr>
            <w:r>
              <w:rPr>
                <w:rFonts w:hint="eastAsia"/>
                <w:sz w:val="20"/>
                <w:szCs w:val="20"/>
              </w:rPr>
              <w:t xml:space="preserve">1140*500*1800</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层板：采用SUS304 ≥1.2mm不锈钢板</w:t>
            </w:r>
            <w:r>
              <w:rPr>
                <w:rFonts w:hint="eastAsia"/>
                <w:sz w:val="20"/>
                <w:szCs w:val="20"/>
              </w:rPr>
              <w:br/>
              <w:t xml:space="preserve">脚架：采用SUS304 </w:t>
            </w:r>
            <w:r>
              <w:rPr>
                <w:rFonts w:ascii="Calibri" w:hAnsi="Calibri" w:cs="Calibri"/>
                <w:sz w:val="20"/>
                <w:szCs w:val="20"/>
              </w:rPr>
              <w:t xml:space="preserve">ф</w:t>
            </w:r>
            <w:r>
              <w:rPr>
                <w:rFonts w:hint="eastAsia"/>
                <w:sz w:val="20"/>
                <w:szCs w:val="20"/>
              </w:rPr>
              <w:t xml:space="preserve">38mm，厚度≥1.5mm定形管</w:t>
            </w:r>
            <w:r>
              <w:rPr>
                <w:rFonts w:hint="eastAsia"/>
                <w:sz w:val="20"/>
                <w:szCs w:val="20"/>
              </w:rPr>
              <w:br/>
              <w:t xml:space="preserve">加强筋：采用SUS304 ≥1.2mm不锈钢板</w:t>
            </w:r>
            <w:r>
              <w:rPr>
                <w:rFonts w:hint="eastAsia"/>
                <w:sz w:val="20"/>
                <w:szCs w:val="20"/>
              </w:rPr>
              <w:br/>
              <w:t xml:space="preserve">配SUS304 不锈钢调节子弹脚</w:t>
            </w:r>
            <w:r/>
          </w:p>
        </w:tc>
        <w:tc>
          <w:tcPr>
            <w:tcBorders>
              <w:top w:val="none" w:color="000000" w:sz="4" w:space="0"/>
              <w:left w:val="none" w:color="000000" w:sz="4" w:space="0"/>
              <w:bottom w:val="single" w:color="000000" w:sz="4" w:space="0"/>
              <w:right w:val="single" w:color="000000"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000000" w:sz="4" w:space="0"/>
              <w:right w:val="single" w:color="000000" w:sz="4" w:space="0"/>
            </w:tcBorders>
            <w:tcW w:w="631" w:type="dxa"/>
            <w:vAlign w:val="center"/>
            <w:textDirection w:val="lrTb"/>
            <w:noWrap/>
          </w:tcPr>
          <w:p>
            <w:pPr>
              <w:jc w:val="center"/>
              <w:rPr>
                <w:rFonts w:hint="eastAsia"/>
                <w:sz w:val="20"/>
                <w:szCs w:val="20"/>
              </w:rPr>
            </w:pPr>
            <w:r>
              <w:rPr>
                <w:rFonts w:hint="eastAsia"/>
                <w:sz w:val="20"/>
                <w:szCs w:val="20"/>
              </w:rPr>
              <w:t xml:space="preserve">68</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rPr>
            </w:pPr>
            <w:r>
              <w:rPr>
                <w:rFonts w:hint="eastAsia"/>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4</w:t>
            </w:r>
            <w:r/>
          </w:p>
        </w:tc>
        <w:tc>
          <w:tcPr>
            <w:tcBorders>
              <w:top w:val="none" w:color="000000" w:sz="4" w:space="0"/>
              <w:left w:val="none" w:color="000000" w:sz="4" w:space="0"/>
              <w:bottom w:val="single" w:color="000000" w:sz="4" w:space="0"/>
              <w:right w:val="single" w:color="000000" w:sz="4" w:space="0"/>
            </w:tcBorders>
            <w:tcW w:w="1637" w:type="dxa"/>
            <w:vAlign w:val="center"/>
            <w:textDirection w:val="lrTb"/>
            <w:noWrap/>
          </w:tcPr>
          <w:p>
            <w:pPr>
              <w:rPr>
                <w:rFonts w:hint="eastAsia"/>
                <w:sz w:val="20"/>
                <w:szCs w:val="20"/>
              </w:rPr>
            </w:pPr>
            <w:r>
              <w:rPr>
                <w:rFonts w:hint="eastAsia"/>
                <w:sz w:val="20"/>
                <w:szCs w:val="20"/>
              </w:rPr>
              <w:t xml:space="preserve">四层冲孔货架2</w:t>
            </w: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tcPr>
          <w:p>
            <w:pPr>
              <w:rPr>
                <w:rFonts w:hint="eastAsia"/>
                <w:sz w:val="20"/>
                <w:szCs w:val="20"/>
              </w:rPr>
            </w:pPr>
            <w:r>
              <w:rPr>
                <w:rFonts w:hint="eastAsia"/>
                <w:sz w:val="20"/>
                <w:szCs w:val="20"/>
              </w:rPr>
              <w:t xml:space="preserve">1000*500*1800</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层板：采用SUS304 ≥1.2mm不锈钢板</w:t>
            </w:r>
            <w:r>
              <w:rPr>
                <w:rFonts w:hint="eastAsia"/>
                <w:sz w:val="20"/>
                <w:szCs w:val="20"/>
              </w:rPr>
              <w:br/>
              <w:t xml:space="preserve">脚架：采用SUS304 </w:t>
            </w:r>
            <w:r>
              <w:rPr>
                <w:rFonts w:ascii="Calibri" w:hAnsi="Calibri" w:cs="Calibri"/>
                <w:sz w:val="20"/>
                <w:szCs w:val="20"/>
              </w:rPr>
              <w:t xml:space="preserve">ф</w:t>
            </w:r>
            <w:r>
              <w:rPr>
                <w:rFonts w:hint="eastAsia"/>
                <w:sz w:val="20"/>
                <w:szCs w:val="20"/>
              </w:rPr>
              <w:t xml:space="preserve">38mm，厚度≥1.5mm定形管</w:t>
            </w:r>
            <w:r>
              <w:rPr>
                <w:rFonts w:hint="eastAsia"/>
                <w:sz w:val="20"/>
                <w:szCs w:val="20"/>
              </w:rPr>
              <w:br/>
              <w:t xml:space="preserve">加强筋：采用SUS304 ≥1.2mm不锈钢板</w:t>
            </w:r>
            <w:r>
              <w:rPr>
                <w:rFonts w:hint="eastAsia"/>
                <w:sz w:val="20"/>
                <w:szCs w:val="20"/>
              </w:rPr>
              <w:br/>
              <w:t xml:space="preserve">配SUS304 不锈钢调节子弹脚</w:t>
            </w:r>
            <w:r/>
          </w:p>
        </w:tc>
        <w:tc>
          <w:tcPr>
            <w:tcBorders>
              <w:top w:val="none" w:color="000000" w:sz="4" w:space="0"/>
              <w:left w:val="none" w:color="000000" w:sz="4" w:space="0"/>
              <w:bottom w:val="single" w:color="000000" w:sz="4" w:space="0"/>
              <w:right w:val="single" w:color="000000"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000000" w:sz="4" w:space="0"/>
              <w:right w:val="single" w:color="000000" w:sz="4" w:space="0"/>
            </w:tcBorders>
            <w:tcW w:w="631" w:type="dxa"/>
            <w:vAlign w:val="center"/>
            <w:textDirection w:val="lrTb"/>
            <w:noWrap/>
          </w:tcPr>
          <w:p>
            <w:pPr>
              <w:jc w:val="center"/>
              <w:rPr>
                <w:rFonts w:hint="eastAsia"/>
                <w:sz w:val="20"/>
                <w:szCs w:val="20"/>
              </w:rPr>
            </w:pPr>
            <w:r>
              <w:rPr>
                <w:rFonts w:hint="eastAsia"/>
                <w:sz w:val="20"/>
                <w:szCs w:val="20"/>
              </w:rPr>
              <w:t xml:space="preserve">1</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rPr>
            </w:pPr>
            <w:r>
              <w:rPr>
                <w:rFonts w:hint="eastAsia"/>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5</w:t>
            </w:r>
            <w:r/>
          </w:p>
        </w:tc>
        <w:tc>
          <w:tcPr>
            <w:tcBorders>
              <w:top w:val="none" w:color="000000" w:sz="4" w:space="0"/>
              <w:left w:val="none" w:color="000000" w:sz="4" w:space="0"/>
              <w:bottom w:val="single" w:color="000000" w:sz="4" w:space="0"/>
              <w:right w:val="single" w:color="000000" w:sz="4" w:space="0"/>
            </w:tcBorders>
            <w:tcW w:w="1637" w:type="dxa"/>
            <w:vAlign w:val="center"/>
            <w:textDirection w:val="lrTb"/>
            <w:noWrap/>
          </w:tcPr>
          <w:p>
            <w:pPr>
              <w:rPr>
                <w:rFonts w:hint="eastAsia"/>
                <w:sz w:val="20"/>
                <w:szCs w:val="20"/>
              </w:rPr>
            </w:pPr>
            <w:r>
              <w:rPr>
                <w:rFonts w:hint="eastAsia"/>
                <w:sz w:val="20"/>
                <w:szCs w:val="20"/>
              </w:rPr>
              <w:t xml:space="preserve">四层平板货架1</w:t>
            </w: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tcPr>
          <w:p>
            <w:pPr>
              <w:rPr>
                <w:rFonts w:hint="eastAsia"/>
                <w:sz w:val="20"/>
                <w:szCs w:val="20"/>
              </w:rPr>
            </w:pPr>
            <w:r>
              <w:rPr>
                <w:rFonts w:hint="eastAsia"/>
                <w:sz w:val="20"/>
                <w:szCs w:val="20"/>
              </w:rPr>
              <w:t xml:space="preserve">1140*500*1800</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层板：采用SUS304 ≥1.2mm不锈钢板</w:t>
            </w:r>
            <w:r>
              <w:rPr>
                <w:rFonts w:hint="eastAsia"/>
                <w:sz w:val="20"/>
                <w:szCs w:val="20"/>
              </w:rPr>
              <w:br/>
              <w:t xml:space="preserve">脚架：采用SUS304 </w:t>
            </w:r>
            <w:r>
              <w:rPr>
                <w:rFonts w:ascii="Calibri" w:hAnsi="Calibri" w:cs="Calibri"/>
                <w:sz w:val="20"/>
                <w:szCs w:val="20"/>
              </w:rPr>
              <w:t xml:space="preserve">ф</w:t>
            </w:r>
            <w:r>
              <w:rPr>
                <w:rFonts w:hint="eastAsia"/>
                <w:sz w:val="20"/>
                <w:szCs w:val="20"/>
              </w:rPr>
              <w:t xml:space="preserve">38mm，厚度≥1.5mm定形管</w:t>
            </w:r>
            <w:r>
              <w:rPr>
                <w:rFonts w:hint="eastAsia"/>
                <w:sz w:val="20"/>
                <w:szCs w:val="20"/>
              </w:rPr>
              <w:br/>
              <w:t xml:space="preserve">加强筋：采用SUS304 ≥1.2mm不锈钢板</w:t>
            </w:r>
            <w:r>
              <w:rPr>
                <w:rFonts w:hint="eastAsia"/>
                <w:sz w:val="20"/>
                <w:szCs w:val="20"/>
              </w:rPr>
              <w:br/>
              <w:t xml:space="preserve">配SUS304 不锈钢调节子弹脚</w:t>
            </w:r>
            <w:r/>
          </w:p>
        </w:tc>
        <w:tc>
          <w:tcPr>
            <w:tcBorders>
              <w:top w:val="none" w:color="000000" w:sz="4" w:space="0"/>
              <w:left w:val="none" w:color="000000" w:sz="4" w:space="0"/>
              <w:bottom w:val="single" w:color="000000" w:sz="4" w:space="0"/>
              <w:right w:val="single" w:color="000000"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000000" w:sz="4" w:space="0"/>
              <w:right w:val="single" w:color="000000" w:sz="4" w:space="0"/>
            </w:tcBorders>
            <w:tcW w:w="631" w:type="dxa"/>
            <w:vAlign w:val="center"/>
            <w:textDirection w:val="lrTb"/>
            <w:noWrap/>
          </w:tcPr>
          <w:p>
            <w:pPr>
              <w:jc w:val="center"/>
              <w:rPr>
                <w:rFonts w:hint="eastAsia"/>
                <w:sz w:val="20"/>
                <w:szCs w:val="20"/>
              </w:rPr>
            </w:pPr>
            <w:r>
              <w:rPr>
                <w:rFonts w:hint="eastAsia"/>
                <w:sz w:val="20"/>
                <w:szCs w:val="20"/>
              </w:rPr>
              <w:t xml:space="preserve">20</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6</w:t>
            </w:r>
            <w:r/>
          </w:p>
        </w:tc>
        <w:tc>
          <w:tcPr>
            <w:tcBorders>
              <w:top w:val="none" w:color="000000" w:sz="4" w:space="0"/>
              <w:left w:val="none" w:color="000000" w:sz="4" w:space="0"/>
              <w:bottom w:val="single" w:color="000000" w:sz="4" w:space="0"/>
              <w:right w:val="single" w:color="000000" w:sz="4" w:space="0"/>
            </w:tcBorders>
            <w:tcW w:w="1637" w:type="dxa"/>
            <w:vAlign w:val="center"/>
            <w:textDirection w:val="lrTb"/>
            <w:noWrap/>
          </w:tcPr>
          <w:p>
            <w:pPr>
              <w:rPr>
                <w:rFonts w:hint="eastAsia"/>
                <w:sz w:val="20"/>
                <w:szCs w:val="20"/>
              </w:rPr>
            </w:pPr>
            <w:r>
              <w:rPr>
                <w:rFonts w:hint="eastAsia"/>
                <w:sz w:val="20"/>
                <w:szCs w:val="20"/>
              </w:rPr>
              <w:t xml:space="preserve">四层平板货架2</w:t>
            </w: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tcPr>
          <w:p>
            <w:pPr>
              <w:rPr>
                <w:rFonts w:hint="eastAsia"/>
                <w:sz w:val="20"/>
                <w:szCs w:val="20"/>
              </w:rPr>
            </w:pPr>
            <w:r>
              <w:rPr>
                <w:rFonts w:hint="eastAsia"/>
                <w:sz w:val="20"/>
                <w:szCs w:val="20"/>
              </w:rPr>
              <w:t xml:space="preserve">700*500*1600</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层板：采用SUS304 ≥1.2mm不锈钢板</w:t>
            </w:r>
            <w:r>
              <w:rPr>
                <w:rFonts w:hint="eastAsia"/>
                <w:sz w:val="20"/>
                <w:szCs w:val="20"/>
              </w:rPr>
              <w:br/>
              <w:t xml:space="preserve">脚架：采用SUS304 </w:t>
            </w:r>
            <w:r>
              <w:rPr>
                <w:rFonts w:ascii="Calibri" w:hAnsi="Calibri" w:cs="Calibri"/>
                <w:sz w:val="20"/>
                <w:szCs w:val="20"/>
              </w:rPr>
              <w:t xml:space="preserve">ф</w:t>
            </w:r>
            <w:r>
              <w:rPr>
                <w:rFonts w:hint="eastAsia"/>
                <w:sz w:val="20"/>
                <w:szCs w:val="20"/>
              </w:rPr>
              <w:t xml:space="preserve">38mm，厚度≥1.5mm</w:t>
            </w:r>
            <w:r>
              <w:rPr>
                <w:rFonts w:hint="eastAsia"/>
                <w:sz w:val="20"/>
                <w:szCs w:val="20"/>
              </w:rPr>
              <w:t xml:space="preserve">定形管</w:t>
            </w:r>
            <w:r>
              <w:rPr>
                <w:rFonts w:hint="eastAsia"/>
                <w:sz w:val="20"/>
                <w:szCs w:val="20"/>
              </w:rPr>
              <w:br/>
              <w:t xml:space="preserve">加强筋：采用SUS304 ≥1.2mm不锈钢板</w:t>
            </w:r>
            <w:r>
              <w:rPr>
                <w:rFonts w:hint="eastAsia"/>
                <w:sz w:val="20"/>
                <w:szCs w:val="20"/>
              </w:rPr>
              <w:br/>
              <w:t xml:space="preserve">配SUS304 不锈钢调节子弹脚</w:t>
            </w:r>
            <w:r/>
          </w:p>
        </w:tc>
        <w:tc>
          <w:tcPr>
            <w:tcBorders>
              <w:top w:val="none" w:color="000000" w:sz="4" w:space="0"/>
              <w:left w:val="none" w:color="000000" w:sz="4" w:space="0"/>
              <w:bottom w:val="single" w:color="000000" w:sz="4" w:space="0"/>
              <w:right w:val="single" w:color="000000"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000000" w:sz="4" w:space="0"/>
              <w:right w:val="single" w:color="000000" w:sz="4" w:space="0"/>
            </w:tcBorders>
            <w:tcW w:w="631" w:type="dxa"/>
            <w:vAlign w:val="center"/>
            <w:textDirection w:val="lrTb"/>
            <w:noWrap/>
          </w:tcPr>
          <w:p>
            <w:pPr>
              <w:jc w:val="center"/>
              <w:rPr>
                <w:rFonts w:hint="eastAsia"/>
                <w:sz w:val="20"/>
                <w:szCs w:val="20"/>
              </w:rPr>
            </w:pPr>
            <w:r>
              <w:rPr>
                <w:rFonts w:hint="eastAsia"/>
                <w:sz w:val="20"/>
                <w:szCs w:val="20"/>
              </w:rPr>
              <w:t xml:space="preserve">17</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7</w:t>
            </w:r>
            <w:r/>
          </w:p>
        </w:tc>
        <w:tc>
          <w:tcPr>
            <w:tcBorders>
              <w:top w:val="none" w:color="000000" w:sz="4" w:space="0"/>
              <w:left w:val="none" w:color="000000" w:sz="4" w:space="0"/>
              <w:bottom w:val="single" w:color="000000" w:sz="4" w:space="0"/>
              <w:right w:val="single" w:color="000000" w:sz="4" w:space="0"/>
            </w:tcBorders>
            <w:tcW w:w="1637" w:type="dxa"/>
            <w:vAlign w:val="center"/>
            <w:textDirection w:val="lrTb"/>
            <w:noWrap/>
          </w:tcPr>
          <w:p>
            <w:pPr>
              <w:rPr>
                <w:rFonts w:hint="eastAsia"/>
                <w:sz w:val="20"/>
                <w:szCs w:val="20"/>
              </w:rPr>
            </w:pPr>
            <w:r>
              <w:rPr>
                <w:rFonts w:hint="eastAsia"/>
                <w:sz w:val="20"/>
                <w:szCs w:val="20"/>
              </w:rPr>
              <w:t xml:space="preserve">米面架1</w:t>
            </w: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tcPr>
          <w:p>
            <w:pPr>
              <w:rPr>
                <w:rFonts w:hint="eastAsia"/>
                <w:sz w:val="20"/>
                <w:szCs w:val="20"/>
              </w:rPr>
            </w:pPr>
            <w:r>
              <w:rPr>
                <w:rFonts w:hint="eastAsia"/>
                <w:sz w:val="20"/>
                <w:szCs w:val="20"/>
              </w:rPr>
              <w:t xml:space="preserve">1200*500*200</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横档：采用SUS304 38*25mm，厚度≥1.5mm不锈钢方管 </w:t>
            </w:r>
            <w:r>
              <w:rPr>
                <w:rFonts w:hint="eastAsia"/>
                <w:sz w:val="20"/>
                <w:szCs w:val="20"/>
              </w:rPr>
              <w:br/>
              <w:t xml:space="preserve">栅栏：采用SUS304 38*25mm，厚度≥1.5mm不锈钢方管</w:t>
            </w:r>
            <w:r>
              <w:rPr>
                <w:rFonts w:hint="eastAsia"/>
                <w:sz w:val="20"/>
                <w:szCs w:val="20"/>
              </w:rPr>
              <w:br/>
              <w:t xml:space="preserve">加强筋：采用SUS304 ≥1.2mm不锈钢板</w:t>
            </w:r>
            <w:r>
              <w:rPr>
                <w:rFonts w:hint="eastAsia"/>
                <w:sz w:val="20"/>
                <w:szCs w:val="20"/>
              </w:rPr>
              <w:br/>
              <w:t xml:space="preserve">脚架：采用SUS304 38*38mm，厚度≥1.5mm不锈钢方管</w:t>
            </w:r>
            <w:r/>
          </w:p>
        </w:tc>
        <w:tc>
          <w:tcPr>
            <w:tcBorders>
              <w:top w:val="none" w:color="000000" w:sz="4" w:space="0"/>
              <w:left w:val="none" w:color="000000" w:sz="4" w:space="0"/>
              <w:bottom w:val="single" w:color="000000" w:sz="4" w:space="0"/>
              <w:right w:val="single" w:color="000000"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000000" w:sz="4" w:space="0"/>
              <w:right w:val="single" w:color="000000" w:sz="4" w:space="0"/>
            </w:tcBorders>
            <w:tcW w:w="631" w:type="dxa"/>
            <w:vAlign w:val="center"/>
            <w:textDirection w:val="lrTb"/>
            <w:noWrap/>
          </w:tcPr>
          <w:p>
            <w:pPr>
              <w:jc w:val="center"/>
              <w:rPr>
                <w:rFonts w:hint="eastAsia"/>
                <w:sz w:val="20"/>
                <w:szCs w:val="20"/>
              </w:rPr>
            </w:pPr>
            <w:r>
              <w:rPr>
                <w:rFonts w:hint="eastAsia"/>
                <w:sz w:val="20"/>
                <w:szCs w:val="20"/>
              </w:rPr>
              <w:t xml:space="preserve">16</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8</w:t>
            </w:r>
            <w:r/>
          </w:p>
        </w:tc>
        <w:tc>
          <w:tcPr>
            <w:tcBorders>
              <w:top w:val="none" w:color="000000" w:sz="4" w:space="0"/>
              <w:left w:val="none" w:color="000000" w:sz="4" w:space="0"/>
              <w:bottom w:val="single" w:color="000000" w:sz="4" w:space="0"/>
              <w:right w:val="single" w:color="000000" w:sz="4" w:space="0"/>
            </w:tcBorders>
            <w:tcW w:w="1637" w:type="dxa"/>
            <w:vAlign w:val="center"/>
            <w:textDirection w:val="lrTb"/>
            <w:noWrap/>
          </w:tcPr>
          <w:p>
            <w:pPr>
              <w:rPr>
                <w:rFonts w:hint="eastAsia"/>
                <w:sz w:val="20"/>
                <w:szCs w:val="20"/>
              </w:rPr>
            </w:pPr>
            <w:r>
              <w:rPr>
                <w:rFonts w:hint="eastAsia"/>
                <w:sz w:val="20"/>
                <w:szCs w:val="20"/>
              </w:rPr>
              <w:t xml:space="preserve">米面架2</w:t>
            </w: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tcPr>
          <w:p>
            <w:pPr>
              <w:rPr>
                <w:rFonts w:hint="eastAsia"/>
                <w:sz w:val="20"/>
                <w:szCs w:val="20"/>
              </w:rPr>
            </w:pPr>
            <w:r>
              <w:rPr>
                <w:rFonts w:hint="eastAsia"/>
                <w:sz w:val="20"/>
                <w:szCs w:val="20"/>
              </w:rPr>
              <w:t xml:space="preserve">1500*500*200</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横档：采用SUS304 38*25mm，厚度≥1.5mm不锈钢方管 </w:t>
            </w:r>
            <w:r>
              <w:rPr>
                <w:rFonts w:hint="eastAsia"/>
                <w:sz w:val="20"/>
                <w:szCs w:val="20"/>
              </w:rPr>
              <w:br/>
              <w:t xml:space="preserve">栅栏：采用SUS304 38*25mm，厚度≥1.5mm不锈钢方管</w:t>
            </w:r>
            <w:r>
              <w:rPr>
                <w:rFonts w:hint="eastAsia"/>
                <w:sz w:val="20"/>
                <w:szCs w:val="20"/>
              </w:rPr>
              <w:br/>
              <w:t xml:space="preserve">加强筋：采用SUS304 ≥1.2mm不锈钢板</w:t>
            </w:r>
            <w:r>
              <w:rPr>
                <w:rFonts w:hint="eastAsia"/>
                <w:sz w:val="20"/>
                <w:szCs w:val="20"/>
              </w:rPr>
              <w:br/>
              <w:t xml:space="preserve">脚架：采用SUS304 38*38mm，厚度≥1.5mm不锈钢方管</w:t>
            </w:r>
            <w:r/>
          </w:p>
        </w:tc>
        <w:tc>
          <w:tcPr>
            <w:tcBorders>
              <w:top w:val="none" w:color="000000" w:sz="4" w:space="0"/>
              <w:left w:val="none" w:color="000000" w:sz="4" w:space="0"/>
              <w:bottom w:val="single" w:color="000000" w:sz="4" w:space="0"/>
              <w:right w:val="single" w:color="000000"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000000" w:sz="4" w:space="0"/>
              <w:right w:val="single" w:color="000000" w:sz="4" w:space="0"/>
            </w:tcBorders>
            <w:tcW w:w="631" w:type="dxa"/>
            <w:vAlign w:val="center"/>
            <w:textDirection w:val="lrTb"/>
            <w:noWrap/>
          </w:tcPr>
          <w:p>
            <w:pPr>
              <w:jc w:val="center"/>
              <w:rPr>
                <w:rFonts w:hint="eastAsia"/>
                <w:sz w:val="20"/>
                <w:szCs w:val="20"/>
              </w:rPr>
            </w:pPr>
            <w:r>
              <w:rPr>
                <w:rFonts w:hint="eastAsia"/>
                <w:sz w:val="20"/>
                <w:szCs w:val="20"/>
              </w:rPr>
              <w:t xml:space="preserve">8</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9</w:t>
            </w:r>
            <w:r/>
          </w:p>
        </w:tc>
        <w:tc>
          <w:tcPr>
            <w:tcBorders>
              <w:top w:val="none" w:color="000000" w:sz="4" w:space="0"/>
              <w:left w:val="none" w:color="000000" w:sz="4" w:space="0"/>
              <w:bottom w:val="single" w:color="000000" w:sz="4" w:space="0"/>
              <w:right w:val="single" w:color="000000" w:sz="4" w:space="0"/>
            </w:tcBorders>
            <w:tcW w:w="1637" w:type="dxa"/>
            <w:vAlign w:val="center"/>
            <w:textDirection w:val="lrTb"/>
            <w:noWrap/>
          </w:tcPr>
          <w:p>
            <w:pPr>
              <w:rPr>
                <w:rFonts w:hint="eastAsia"/>
                <w:sz w:val="20"/>
                <w:szCs w:val="20"/>
              </w:rPr>
            </w:pPr>
            <w:r>
              <w:rPr>
                <w:rFonts w:hint="eastAsia"/>
                <w:sz w:val="20"/>
                <w:szCs w:val="20"/>
              </w:rPr>
              <w:t xml:space="preserve">双层工作台1</w:t>
            </w: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tcPr>
          <w:p>
            <w:pPr>
              <w:rPr>
                <w:rFonts w:hint="eastAsia"/>
                <w:sz w:val="20"/>
                <w:szCs w:val="20"/>
              </w:rPr>
            </w:pPr>
            <w:r>
              <w:rPr>
                <w:rFonts w:hint="eastAsia"/>
                <w:sz w:val="20"/>
                <w:szCs w:val="20"/>
              </w:rPr>
              <w:t xml:space="preserve">1800*760*800+100</w:t>
            </w:r>
            <w:r/>
          </w:p>
        </w:tc>
        <w:tc>
          <w:tcPr>
            <w:tcBorders>
              <w:top w:val="none" w:color="000000" w:sz="4" w:space="0"/>
              <w:left w:val="none" w:color="000000" w:sz="4" w:space="0"/>
              <w:bottom w:val="single" w:color="auto" w:sz="4" w:space="0"/>
              <w:right w:val="single" w:color="auto" w:sz="4" w:space="0"/>
            </w:tcBorders>
            <w:tcW w:w="3992" w:type="dxa"/>
            <w:textDirection w:val="lrTb"/>
            <w:noWrap w:val="false"/>
          </w:tcPr>
          <w:p>
            <w:pPr>
              <w:rPr>
                <w:rFonts w:hint="eastAsia"/>
                <w:sz w:val="20"/>
                <w:szCs w:val="20"/>
              </w:rPr>
            </w:pPr>
            <w:r>
              <w:rPr>
                <w:rFonts w:hint="eastAsia"/>
                <w:sz w:val="20"/>
                <w:szCs w:val="20"/>
              </w:rPr>
              <w:t xml:space="preserve">台面:采用SUS304 ≥1.5mm不锈钢板</w:t>
            </w:r>
            <w:r>
              <w:rPr>
                <w:rFonts w:hint="eastAsia"/>
                <w:sz w:val="20"/>
                <w:szCs w:val="20"/>
              </w:rPr>
              <w:br/>
              <w:t xml:space="preserve">层板：采用SUS304 ≥1.2mm不锈钢板</w:t>
            </w:r>
            <w:r>
              <w:rPr>
                <w:rFonts w:hint="eastAsia"/>
                <w:sz w:val="20"/>
                <w:szCs w:val="20"/>
              </w:rPr>
              <w:br/>
              <w:t xml:space="preserve">加强筋：采用SUS304 ≥1.2mm不锈钢板</w:t>
            </w:r>
            <w:r>
              <w:rPr>
                <w:rFonts w:hint="eastAsia"/>
                <w:sz w:val="20"/>
                <w:szCs w:val="20"/>
              </w:rPr>
              <w:br/>
              <w:t xml:space="preserve">脚架：采用SUS304 </w:t>
            </w:r>
            <w:r>
              <w:rPr>
                <w:rFonts w:ascii="Calibri" w:hAnsi="Calibri" w:cs="Calibri"/>
                <w:sz w:val="20"/>
                <w:szCs w:val="20"/>
              </w:rPr>
              <w:t xml:space="preserve">φ</w:t>
            </w:r>
            <w:r>
              <w:rPr>
                <w:rFonts w:hint="eastAsia"/>
                <w:sz w:val="20"/>
                <w:szCs w:val="20"/>
              </w:rPr>
              <w:t xml:space="preserve">38mm，厚度≥1.5mm不锈钢定形管                     </w:t>
            </w:r>
            <w:r>
              <w:rPr>
                <w:rFonts w:hint="eastAsia"/>
                <w:sz w:val="20"/>
                <w:szCs w:val="20"/>
              </w:rPr>
              <w:br/>
              <w:t xml:space="preserve">横档：采用SUS304 </w:t>
            </w:r>
            <w:r>
              <w:rPr>
                <w:rFonts w:ascii="Calibri" w:hAnsi="Calibri" w:cs="Calibri"/>
                <w:sz w:val="20"/>
                <w:szCs w:val="20"/>
              </w:rPr>
              <w:t xml:space="preserve">ф</w:t>
            </w:r>
            <w:r>
              <w:rPr>
                <w:rFonts w:hint="eastAsia"/>
                <w:sz w:val="20"/>
                <w:szCs w:val="20"/>
              </w:rPr>
              <w:t xml:space="preserve">25mm，厚度≥1.2mm不锈钢定形管</w:t>
            </w:r>
            <w:r>
              <w:rPr>
                <w:rFonts w:hint="eastAsia"/>
                <w:sz w:val="20"/>
                <w:szCs w:val="20"/>
              </w:rPr>
              <w:br/>
              <w:t xml:space="preserve">配SUS304 不锈钢调节子弹脚</w:t>
            </w:r>
            <w:r/>
          </w:p>
        </w:tc>
        <w:tc>
          <w:tcPr>
            <w:tcBorders>
              <w:top w:val="none" w:color="000000" w:sz="4" w:space="0"/>
              <w:left w:val="none" w:color="000000" w:sz="4" w:space="0"/>
              <w:bottom w:val="single" w:color="000000" w:sz="4" w:space="0"/>
              <w:right w:val="single" w:color="000000"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000000" w:sz="4" w:space="0"/>
              <w:right w:val="single" w:color="000000" w:sz="4" w:space="0"/>
            </w:tcBorders>
            <w:tcW w:w="631" w:type="dxa"/>
            <w:vAlign w:val="center"/>
            <w:textDirection w:val="lrTb"/>
            <w:noWrap/>
          </w:tcPr>
          <w:p>
            <w:pPr>
              <w:jc w:val="center"/>
              <w:rPr>
                <w:rFonts w:hint="eastAsia"/>
                <w:sz w:val="20"/>
                <w:szCs w:val="20"/>
              </w:rPr>
            </w:pPr>
            <w:r>
              <w:rPr>
                <w:rFonts w:hint="eastAsia"/>
                <w:sz w:val="20"/>
                <w:szCs w:val="20"/>
              </w:rPr>
              <w:t xml:space="preserve">16</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10</w:t>
            </w:r>
            <w:r/>
          </w:p>
        </w:tc>
        <w:tc>
          <w:tcPr>
            <w:tcBorders>
              <w:top w:val="none" w:color="000000" w:sz="4" w:space="0"/>
              <w:left w:val="none" w:color="000000" w:sz="4" w:space="0"/>
              <w:bottom w:val="single" w:color="000000" w:sz="4" w:space="0"/>
              <w:right w:val="single" w:color="000000" w:sz="4" w:space="0"/>
            </w:tcBorders>
            <w:tcW w:w="1637" w:type="dxa"/>
            <w:vAlign w:val="center"/>
            <w:textDirection w:val="lrTb"/>
            <w:noWrap/>
          </w:tcPr>
          <w:p>
            <w:pPr>
              <w:rPr>
                <w:rFonts w:hint="eastAsia"/>
                <w:sz w:val="20"/>
                <w:szCs w:val="20"/>
              </w:rPr>
            </w:pPr>
            <w:r>
              <w:rPr>
                <w:rFonts w:hint="eastAsia"/>
                <w:sz w:val="20"/>
                <w:szCs w:val="20"/>
              </w:rPr>
              <w:t xml:space="preserve">双层工作台2</w:t>
            </w: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tcPr>
          <w:p>
            <w:pPr>
              <w:rPr>
                <w:rFonts w:hint="eastAsia"/>
                <w:sz w:val="20"/>
                <w:szCs w:val="20"/>
              </w:rPr>
            </w:pPr>
            <w:r>
              <w:rPr>
                <w:rFonts w:hint="eastAsia"/>
                <w:sz w:val="20"/>
                <w:szCs w:val="20"/>
              </w:rPr>
              <w:t xml:space="preserve">650*310*800+100</w:t>
            </w:r>
            <w:r/>
          </w:p>
        </w:tc>
        <w:tc>
          <w:tcPr>
            <w:tcBorders>
              <w:top w:val="none" w:color="000000" w:sz="4" w:space="0"/>
              <w:left w:val="none" w:color="000000" w:sz="4" w:space="0"/>
              <w:bottom w:val="single" w:color="auto" w:sz="4" w:space="0"/>
              <w:right w:val="single" w:color="auto" w:sz="4" w:space="0"/>
            </w:tcBorders>
            <w:tcW w:w="3992" w:type="dxa"/>
            <w:textDirection w:val="lrTb"/>
            <w:noWrap w:val="false"/>
          </w:tcPr>
          <w:p>
            <w:pPr>
              <w:rPr>
                <w:rFonts w:hint="eastAsia"/>
                <w:sz w:val="20"/>
                <w:szCs w:val="20"/>
              </w:rPr>
            </w:pPr>
            <w:r>
              <w:rPr>
                <w:rFonts w:hint="eastAsia"/>
                <w:sz w:val="20"/>
                <w:szCs w:val="20"/>
              </w:rPr>
              <w:t xml:space="preserve">台面:采用SUS304 ≥1.5mm不锈钢板</w:t>
            </w:r>
            <w:r>
              <w:rPr>
                <w:rFonts w:hint="eastAsia"/>
                <w:sz w:val="20"/>
                <w:szCs w:val="20"/>
              </w:rPr>
              <w:br/>
              <w:t xml:space="preserve">层板：采用SUS304 ≥1.2mm不锈钢板</w:t>
            </w:r>
            <w:r>
              <w:rPr>
                <w:rFonts w:hint="eastAsia"/>
                <w:sz w:val="20"/>
                <w:szCs w:val="20"/>
              </w:rPr>
              <w:br/>
              <w:t xml:space="preserve">加强筋：采用SUS304 ≥1.2mm不锈钢板</w:t>
            </w:r>
            <w:r>
              <w:rPr>
                <w:rFonts w:hint="eastAsia"/>
                <w:sz w:val="20"/>
                <w:szCs w:val="20"/>
              </w:rPr>
              <w:br/>
              <w:t xml:space="preserve">脚架：采用SUS304 </w:t>
            </w:r>
            <w:r>
              <w:rPr>
                <w:rFonts w:ascii="Calibri" w:hAnsi="Calibri" w:cs="Calibri"/>
                <w:sz w:val="20"/>
                <w:szCs w:val="20"/>
              </w:rPr>
              <w:t xml:space="preserve">φ</w:t>
            </w:r>
            <w:r>
              <w:rPr>
                <w:rFonts w:hint="eastAsia"/>
                <w:sz w:val="20"/>
                <w:szCs w:val="20"/>
              </w:rPr>
              <w:t xml:space="preserve">38mm，厚度≥1.5mm不锈钢定形管                     </w:t>
            </w:r>
            <w:r>
              <w:rPr>
                <w:rFonts w:hint="eastAsia"/>
                <w:sz w:val="20"/>
                <w:szCs w:val="20"/>
              </w:rPr>
              <w:br/>
              <w:t xml:space="preserve">横档：采用SUS304 </w:t>
            </w:r>
            <w:r>
              <w:rPr>
                <w:rFonts w:ascii="Calibri" w:hAnsi="Calibri" w:cs="Calibri"/>
                <w:sz w:val="20"/>
                <w:szCs w:val="20"/>
              </w:rPr>
              <w:t xml:space="preserve">ф</w:t>
            </w:r>
            <w:r>
              <w:rPr>
                <w:rFonts w:hint="eastAsia"/>
                <w:sz w:val="20"/>
                <w:szCs w:val="20"/>
              </w:rPr>
              <w:t xml:space="preserve">25mm，厚度≥1.2mm不锈钢定形管</w:t>
            </w:r>
            <w:r>
              <w:rPr>
                <w:rFonts w:hint="eastAsia"/>
                <w:sz w:val="20"/>
                <w:szCs w:val="20"/>
              </w:rPr>
              <w:br/>
              <w:t xml:space="preserve">配SUS304 不锈钢调节子弹脚</w:t>
            </w:r>
            <w:r/>
          </w:p>
        </w:tc>
        <w:tc>
          <w:tcPr>
            <w:tcBorders>
              <w:top w:val="none" w:color="000000" w:sz="4" w:space="0"/>
              <w:left w:val="none" w:color="000000" w:sz="4" w:space="0"/>
              <w:bottom w:val="single" w:color="000000" w:sz="4" w:space="0"/>
              <w:right w:val="single" w:color="000000"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000000" w:sz="4" w:space="0"/>
              <w:right w:val="single" w:color="000000" w:sz="4" w:space="0"/>
            </w:tcBorders>
            <w:tcW w:w="631" w:type="dxa"/>
            <w:vAlign w:val="center"/>
            <w:textDirection w:val="lrTb"/>
            <w:noWrap/>
          </w:tcPr>
          <w:p>
            <w:pPr>
              <w:jc w:val="center"/>
              <w:rPr>
                <w:rFonts w:hint="eastAsia"/>
                <w:sz w:val="20"/>
                <w:szCs w:val="20"/>
              </w:rPr>
            </w:pPr>
            <w:r>
              <w:rPr>
                <w:rFonts w:hint="eastAsia"/>
                <w:sz w:val="20"/>
                <w:szCs w:val="20"/>
              </w:rPr>
              <w:t xml:space="preserve">1</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11</w:t>
            </w:r>
            <w:r/>
          </w:p>
        </w:tc>
        <w:tc>
          <w:tcPr>
            <w:tcBorders>
              <w:top w:val="none" w:color="000000" w:sz="4" w:space="0"/>
              <w:left w:val="none" w:color="000000" w:sz="4" w:space="0"/>
              <w:bottom w:val="single" w:color="000000" w:sz="4" w:space="0"/>
              <w:right w:val="single" w:color="000000" w:sz="4" w:space="0"/>
            </w:tcBorders>
            <w:tcW w:w="1637" w:type="dxa"/>
            <w:vAlign w:val="center"/>
            <w:textDirection w:val="lrTb"/>
            <w:noWrap/>
          </w:tcPr>
          <w:p>
            <w:pPr>
              <w:rPr>
                <w:rFonts w:hint="eastAsia"/>
                <w:sz w:val="20"/>
                <w:szCs w:val="20"/>
              </w:rPr>
            </w:pPr>
            <w:r>
              <w:rPr>
                <w:rFonts w:hint="eastAsia"/>
                <w:sz w:val="20"/>
                <w:szCs w:val="20"/>
              </w:rPr>
              <w:t xml:space="preserve">双层工作台3</w:t>
            </w: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tcPr>
          <w:p>
            <w:pPr>
              <w:rPr>
                <w:rFonts w:hint="eastAsia"/>
                <w:sz w:val="20"/>
                <w:szCs w:val="20"/>
              </w:rPr>
            </w:pPr>
            <w:r>
              <w:rPr>
                <w:rFonts w:hint="eastAsia"/>
                <w:sz w:val="20"/>
                <w:szCs w:val="20"/>
              </w:rPr>
              <w:t xml:space="preserve">1800*760*800</w:t>
            </w:r>
            <w:r/>
          </w:p>
        </w:tc>
        <w:tc>
          <w:tcPr>
            <w:tcBorders>
              <w:top w:val="none" w:color="000000" w:sz="4" w:space="0"/>
              <w:left w:val="none" w:color="000000" w:sz="4" w:space="0"/>
              <w:bottom w:val="single" w:color="auto" w:sz="4" w:space="0"/>
              <w:right w:val="single" w:color="auto" w:sz="4" w:space="0"/>
            </w:tcBorders>
            <w:tcW w:w="3992" w:type="dxa"/>
            <w:textDirection w:val="lrTb"/>
            <w:noWrap w:val="false"/>
          </w:tcPr>
          <w:p>
            <w:pPr>
              <w:rPr>
                <w:rFonts w:hint="eastAsia"/>
                <w:sz w:val="20"/>
                <w:szCs w:val="20"/>
              </w:rPr>
            </w:pPr>
            <w:r>
              <w:rPr>
                <w:rFonts w:hint="eastAsia"/>
                <w:sz w:val="20"/>
                <w:szCs w:val="20"/>
              </w:rPr>
              <w:t xml:space="preserve">台面:采用SUS304 ≥1.5mm不锈钢板</w:t>
            </w:r>
            <w:r>
              <w:rPr>
                <w:rFonts w:hint="eastAsia"/>
                <w:sz w:val="20"/>
                <w:szCs w:val="20"/>
              </w:rPr>
              <w:br/>
              <w:t xml:space="preserve">层板：采用SUS304 ≥1.2mm不锈钢板</w:t>
            </w:r>
            <w:r>
              <w:rPr>
                <w:rFonts w:hint="eastAsia"/>
                <w:sz w:val="20"/>
                <w:szCs w:val="20"/>
              </w:rPr>
              <w:br/>
              <w:t xml:space="preserve">加强筋：采用SUS304 ≥1.2mm不锈钢板</w:t>
            </w:r>
            <w:r>
              <w:rPr>
                <w:rFonts w:hint="eastAsia"/>
                <w:sz w:val="20"/>
                <w:szCs w:val="20"/>
              </w:rPr>
              <w:br/>
            </w:r>
            <w:r>
              <w:rPr>
                <w:rFonts w:hint="eastAsia"/>
                <w:sz w:val="20"/>
                <w:szCs w:val="20"/>
              </w:rPr>
              <w:t xml:space="preserve">脚架：采用SUS304 </w:t>
            </w:r>
            <w:r>
              <w:rPr>
                <w:rFonts w:ascii="Calibri" w:hAnsi="Calibri" w:cs="Calibri"/>
                <w:sz w:val="20"/>
                <w:szCs w:val="20"/>
              </w:rPr>
              <w:t xml:space="preserve">φ</w:t>
            </w:r>
            <w:r>
              <w:rPr>
                <w:rFonts w:hint="eastAsia"/>
                <w:sz w:val="20"/>
                <w:szCs w:val="20"/>
              </w:rPr>
              <w:t xml:space="preserve">38mm，厚度≥1.5mm不锈钢定形管                     </w:t>
            </w:r>
            <w:r>
              <w:rPr>
                <w:rFonts w:hint="eastAsia"/>
                <w:sz w:val="20"/>
                <w:szCs w:val="20"/>
              </w:rPr>
              <w:br/>
              <w:t xml:space="preserve">横档：采用SUS304 </w:t>
            </w:r>
            <w:r>
              <w:rPr>
                <w:rFonts w:ascii="Calibri" w:hAnsi="Calibri" w:cs="Calibri"/>
                <w:sz w:val="20"/>
                <w:szCs w:val="20"/>
              </w:rPr>
              <w:t xml:space="preserve">ф</w:t>
            </w:r>
            <w:r>
              <w:rPr>
                <w:rFonts w:hint="eastAsia"/>
                <w:sz w:val="20"/>
                <w:szCs w:val="20"/>
              </w:rPr>
              <w:t xml:space="preserve">25mm，厚度≥1.2mm不锈钢定形管</w:t>
            </w:r>
            <w:r>
              <w:rPr>
                <w:rFonts w:hint="eastAsia"/>
                <w:sz w:val="20"/>
                <w:szCs w:val="20"/>
              </w:rPr>
              <w:br/>
              <w:t xml:space="preserve">配SUS304 不锈钢调节子弹脚</w:t>
            </w:r>
            <w:r/>
          </w:p>
        </w:tc>
        <w:tc>
          <w:tcPr>
            <w:tcBorders>
              <w:top w:val="none" w:color="000000" w:sz="4" w:space="0"/>
              <w:left w:val="none" w:color="000000" w:sz="4" w:space="0"/>
              <w:bottom w:val="single" w:color="000000" w:sz="4" w:space="0"/>
              <w:right w:val="single" w:color="000000"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000000" w:sz="4" w:space="0"/>
              <w:right w:val="single" w:color="000000" w:sz="4" w:space="0"/>
            </w:tcBorders>
            <w:tcW w:w="631" w:type="dxa"/>
            <w:vAlign w:val="center"/>
            <w:textDirection w:val="lrTb"/>
            <w:noWrap/>
          </w:tcPr>
          <w:p>
            <w:pPr>
              <w:jc w:val="center"/>
              <w:rPr>
                <w:rFonts w:hint="eastAsia"/>
                <w:sz w:val="20"/>
                <w:szCs w:val="20"/>
              </w:rPr>
            </w:pPr>
            <w:r>
              <w:rPr>
                <w:rFonts w:hint="eastAsia"/>
                <w:sz w:val="20"/>
                <w:szCs w:val="20"/>
              </w:rPr>
              <w:t xml:space="preserve">22</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12</w:t>
            </w:r>
            <w:r/>
          </w:p>
        </w:tc>
        <w:tc>
          <w:tcPr>
            <w:tcBorders>
              <w:top w:val="none" w:color="000000" w:sz="4" w:space="0"/>
              <w:left w:val="none" w:color="000000" w:sz="4" w:space="0"/>
              <w:bottom w:val="single" w:color="000000" w:sz="4" w:space="0"/>
              <w:right w:val="single" w:color="000000" w:sz="4" w:space="0"/>
            </w:tcBorders>
            <w:tcW w:w="1637" w:type="dxa"/>
            <w:vAlign w:val="center"/>
            <w:textDirection w:val="lrTb"/>
            <w:noWrap/>
          </w:tcPr>
          <w:p>
            <w:pPr>
              <w:rPr>
                <w:rFonts w:hint="eastAsia"/>
                <w:sz w:val="20"/>
                <w:szCs w:val="20"/>
              </w:rPr>
            </w:pPr>
            <w:r>
              <w:rPr>
                <w:rFonts w:hint="eastAsia"/>
                <w:sz w:val="20"/>
                <w:szCs w:val="20"/>
              </w:rPr>
              <w:t xml:space="preserve">双层工作台4</w:t>
            </w: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tcPr>
          <w:p>
            <w:pPr>
              <w:rPr>
                <w:rFonts w:hint="eastAsia"/>
                <w:sz w:val="20"/>
                <w:szCs w:val="20"/>
              </w:rPr>
            </w:pPr>
            <w:r>
              <w:rPr>
                <w:rFonts w:hint="eastAsia"/>
                <w:sz w:val="20"/>
                <w:szCs w:val="20"/>
              </w:rPr>
              <w:t xml:space="preserve">800*760*800+100</w:t>
            </w:r>
            <w:r/>
          </w:p>
        </w:tc>
        <w:tc>
          <w:tcPr>
            <w:tcBorders>
              <w:top w:val="none" w:color="000000" w:sz="4" w:space="0"/>
              <w:left w:val="none" w:color="000000" w:sz="4" w:space="0"/>
              <w:bottom w:val="single" w:color="auto" w:sz="4" w:space="0"/>
              <w:right w:val="single" w:color="auto" w:sz="4" w:space="0"/>
            </w:tcBorders>
            <w:tcW w:w="3992" w:type="dxa"/>
            <w:textDirection w:val="lrTb"/>
            <w:noWrap w:val="false"/>
          </w:tcPr>
          <w:p>
            <w:pPr>
              <w:rPr>
                <w:rFonts w:hint="eastAsia"/>
                <w:sz w:val="20"/>
                <w:szCs w:val="20"/>
              </w:rPr>
            </w:pPr>
            <w:r>
              <w:rPr>
                <w:rFonts w:hint="eastAsia"/>
                <w:sz w:val="20"/>
                <w:szCs w:val="20"/>
              </w:rPr>
              <w:t xml:space="preserve">台面:采用SUS304 ≥1.5mm不锈钢板</w:t>
            </w:r>
            <w:r>
              <w:rPr>
                <w:rFonts w:hint="eastAsia"/>
                <w:sz w:val="20"/>
                <w:szCs w:val="20"/>
              </w:rPr>
              <w:br/>
              <w:t xml:space="preserve">层板：采用SUS304 ≥1.2mm不锈钢板</w:t>
            </w:r>
            <w:r>
              <w:rPr>
                <w:rFonts w:hint="eastAsia"/>
                <w:sz w:val="20"/>
                <w:szCs w:val="20"/>
              </w:rPr>
              <w:br/>
              <w:t xml:space="preserve">加强筋：采用SUS304 ≥1.2mm不锈钢板</w:t>
            </w:r>
            <w:r>
              <w:rPr>
                <w:rFonts w:hint="eastAsia"/>
                <w:sz w:val="20"/>
                <w:szCs w:val="20"/>
              </w:rPr>
              <w:br/>
              <w:t xml:space="preserve">脚架：采用SUS304 </w:t>
            </w:r>
            <w:r>
              <w:rPr>
                <w:rFonts w:ascii="Calibri" w:hAnsi="Calibri" w:cs="Calibri"/>
                <w:sz w:val="20"/>
                <w:szCs w:val="20"/>
              </w:rPr>
              <w:t xml:space="preserve">φ</w:t>
            </w:r>
            <w:r>
              <w:rPr>
                <w:rFonts w:hint="eastAsia"/>
                <w:sz w:val="20"/>
                <w:szCs w:val="20"/>
              </w:rPr>
              <w:t xml:space="preserve">38mm，厚度≥1.5mm不锈钢定形管                     </w:t>
            </w:r>
            <w:r>
              <w:rPr>
                <w:rFonts w:hint="eastAsia"/>
                <w:sz w:val="20"/>
                <w:szCs w:val="20"/>
              </w:rPr>
              <w:br/>
              <w:t xml:space="preserve">横档：采用SUS304 </w:t>
            </w:r>
            <w:r>
              <w:rPr>
                <w:rFonts w:ascii="Calibri" w:hAnsi="Calibri" w:cs="Calibri"/>
                <w:sz w:val="20"/>
                <w:szCs w:val="20"/>
              </w:rPr>
              <w:t xml:space="preserve">ф</w:t>
            </w:r>
            <w:r>
              <w:rPr>
                <w:rFonts w:hint="eastAsia"/>
                <w:sz w:val="20"/>
                <w:szCs w:val="20"/>
              </w:rPr>
              <w:t xml:space="preserve">25mm，厚度≥1.2mm不锈钢定形管</w:t>
            </w:r>
            <w:r>
              <w:rPr>
                <w:rFonts w:hint="eastAsia"/>
                <w:sz w:val="20"/>
                <w:szCs w:val="20"/>
              </w:rPr>
              <w:br/>
              <w:t xml:space="preserve">配SUS304 不锈钢调节子弹脚</w:t>
            </w:r>
            <w:r/>
          </w:p>
        </w:tc>
        <w:tc>
          <w:tcPr>
            <w:tcBorders>
              <w:top w:val="none" w:color="000000" w:sz="4" w:space="0"/>
              <w:left w:val="none" w:color="000000" w:sz="4" w:space="0"/>
              <w:bottom w:val="single" w:color="000000" w:sz="4" w:space="0"/>
              <w:right w:val="single" w:color="000000"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000000" w:sz="4" w:space="0"/>
              <w:right w:val="single" w:color="000000" w:sz="4" w:space="0"/>
            </w:tcBorders>
            <w:tcW w:w="631" w:type="dxa"/>
            <w:vAlign w:val="center"/>
            <w:textDirection w:val="lrTb"/>
            <w:noWrap/>
          </w:tcPr>
          <w:p>
            <w:pPr>
              <w:jc w:val="center"/>
              <w:rPr>
                <w:rFonts w:hint="eastAsia"/>
                <w:sz w:val="20"/>
                <w:szCs w:val="20"/>
              </w:rPr>
            </w:pPr>
            <w:r>
              <w:rPr>
                <w:rFonts w:hint="eastAsia"/>
                <w:sz w:val="20"/>
                <w:szCs w:val="20"/>
              </w:rPr>
              <w:t xml:space="preserve">2</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13</w:t>
            </w:r>
            <w:r/>
          </w:p>
        </w:tc>
        <w:tc>
          <w:tcPr>
            <w:tcBorders>
              <w:top w:val="none" w:color="000000" w:sz="4" w:space="0"/>
              <w:left w:val="none" w:color="000000" w:sz="4" w:space="0"/>
              <w:bottom w:val="single" w:color="000000" w:sz="4" w:space="0"/>
              <w:right w:val="single" w:color="000000" w:sz="4" w:space="0"/>
            </w:tcBorders>
            <w:tcW w:w="1637" w:type="dxa"/>
            <w:vAlign w:val="center"/>
            <w:textDirection w:val="lrTb"/>
            <w:noWrap/>
          </w:tcPr>
          <w:p>
            <w:pPr>
              <w:rPr>
                <w:rFonts w:hint="eastAsia"/>
                <w:sz w:val="20"/>
                <w:szCs w:val="20"/>
              </w:rPr>
            </w:pPr>
            <w:r>
              <w:rPr>
                <w:rFonts w:hint="eastAsia"/>
                <w:sz w:val="20"/>
                <w:szCs w:val="20"/>
              </w:rPr>
              <w:t xml:space="preserve">双层工作台5</w:t>
            </w: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tcPr>
          <w:p>
            <w:pPr>
              <w:rPr>
                <w:rFonts w:hint="eastAsia"/>
                <w:sz w:val="20"/>
                <w:szCs w:val="20"/>
              </w:rPr>
            </w:pPr>
            <w:r>
              <w:rPr>
                <w:rFonts w:hint="eastAsia"/>
                <w:sz w:val="20"/>
                <w:szCs w:val="20"/>
              </w:rPr>
              <w:t xml:space="preserve">800*660*800+100</w:t>
            </w:r>
            <w:r/>
          </w:p>
        </w:tc>
        <w:tc>
          <w:tcPr>
            <w:tcBorders>
              <w:top w:val="none" w:color="000000" w:sz="4" w:space="0"/>
              <w:left w:val="none" w:color="000000" w:sz="4" w:space="0"/>
              <w:bottom w:val="single" w:color="auto" w:sz="4" w:space="0"/>
              <w:right w:val="single" w:color="auto" w:sz="4" w:space="0"/>
            </w:tcBorders>
            <w:tcW w:w="3992" w:type="dxa"/>
            <w:textDirection w:val="lrTb"/>
            <w:noWrap w:val="false"/>
          </w:tcPr>
          <w:p>
            <w:pPr>
              <w:rPr>
                <w:rFonts w:hint="eastAsia"/>
                <w:sz w:val="20"/>
                <w:szCs w:val="20"/>
              </w:rPr>
            </w:pPr>
            <w:r>
              <w:rPr>
                <w:rFonts w:hint="eastAsia"/>
                <w:sz w:val="20"/>
                <w:szCs w:val="20"/>
              </w:rPr>
              <w:t xml:space="preserve">台面:采用SUS304 ≥1.5mm不锈钢板</w:t>
            </w:r>
            <w:r>
              <w:rPr>
                <w:rFonts w:hint="eastAsia"/>
                <w:sz w:val="20"/>
                <w:szCs w:val="20"/>
              </w:rPr>
              <w:br/>
              <w:t xml:space="preserve">层板：采用SUS304 ≥1.2mm不锈钢板</w:t>
            </w:r>
            <w:r>
              <w:rPr>
                <w:rFonts w:hint="eastAsia"/>
                <w:sz w:val="20"/>
                <w:szCs w:val="20"/>
              </w:rPr>
              <w:br/>
              <w:t xml:space="preserve">加强筋：采用SUS304 ≥1.2mm不锈钢板</w:t>
            </w:r>
            <w:r>
              <w:rPr>
                <w:rFonts w:hint="eastAsia"/>
                <w:sz w:val="20"/>
                <w:szCs w:val="20"/>
              </w:rPr>
              <w:br/>
              <w:t xml:space="preserve">脚架：采用SUS304 </w:t>
            </w:r>
            <w:r>
              <w:rPr>
                <w:rFonts w:ascii="Calibri" w:hAnsi="Calibri" w:cs="Calibri"/>
                <w:sz w:val="20"/>
                <w:szCs w:val="20"/>
              </w:rPr>
              <w:t xml:space="preserve">φ</w:t>
            </w:r>
            <w:r>
              <w:rPr>
                <w:rFonts w:hint="eastAsia"/>
                <w:sz w:val="20"/>
                <w:szCs w:val="20"/>
              </w:rPr>
              <w:t xml:space="preserve">38mm，厚度≥1.5mm不锈钢定形管                     </w:t>
            </w:r>
            <w:r>
              <w:rPr>
                <w:rFonts w:hint="eastAsia"/>
                <w:sz w:val="20"/>
                <w:szCs w:val="20"/>
              </w:rPr>
              <w:br/>
              <w:t xml:space="preserve">横档：采用SUS304 </w:t>
            </w:r>
            <w:r>
              <w:rPr>
                <w:rFonts w:ascii="Calibri" w:hAnsi="Calibri" w:cs="Calibri"/>
                <w:sz w:val="20"/>
                <w:szCs w:val="20"/>
              </w:rPr>
              <w:t xml:space="preserve">ф</w:t>
            </w:r>
            <w:r>
              <w:rPr>
                <w:rFonts w:hint="eastAsia"/>
                <w:sz w:val="20"/>
                <w:szCs w:val="20"/>
              </w:rPr>
              <w:t xml:space="preserve">25mm，厚度≥1.2mm不锈钢定形管</w:t>
            </w:r>
            <w:r>
              <w:rPr>
                <w:rFonts w:hint="eastAsia"/>
                <w:sz w:val="20"/>
                <w:szCs w:val="20"/>
              </w:rPr>
              <w:br/>
              <w:t xml:space="preserve">配SUS304 不锈钢调节子弹脚</w:t>
            </w:r>
            <w:r/>
          </w:p>
        </w:tc>
        <w:tc>
          <w:tcPr>
            <w:tcBorders>
              <w:top w:val="none" w:color="000000" w:sz="4" w:space="0"/>
              <w:left w:val="none" w:color="000000" w:sz="4" w:space="0"/>
              <w:bottom w:val="single" w:color="000000" w:sz="4" w:space="0"/>
              <w:right w:val="single" w:color="000000"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000000" w:sz="4" w:space="0"/>
              <w:right w:val="single" w:color="000000" w:sz="4" w:space="0"/>
            </w:tcBorders>
            <w:tcW w:w="631" w:type="dxa"/>
            <w:vAlign w:val="center"/>
            <w:textDirection w:val="lrTb"/>
            <w:noWrap/>
          </w:tcPr>
          <w:p>
            <w:pPr>
              <w:jc w:val="center"/>
              <w:rPr>
                <w:rFonts w:hint="eastAsia"/>
                <w:sz w:val="20"/>
                <w:szCs w:val="20"/>
              </w:rPr>
            </w:pPr>
            <w:r>
              <w:rPr>
                <w:rFonts w:hint="eastAsia"/>
                <w:sz w:val="20"/>
                <w:szCs w:val="20"/>
              </w:rPr>
              <w:t xml:space="preserve">1</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14</w:t>
            </w:r>
            <w:r/>
          </w:p>
        </w:tc>
        <w:tc>
          <w:tcPr>
            <w:tcBorders>
              <w:top w:val="none" w:color="000000" w:sz="4" w:space="0"/>
              <w:left w:val="none" w:color="000000" w:sz="4" w:space="0"/>
              <w:bottom w:val="single" w:color="000000" w:sz="4" w:space="0"/>
              <w:right w:val="single" w:color="000000" w:sz="4" w:space="0"/>
            </w:tcBorders>
            <w:tcW w:w="1637" w:type="dxa"/>
            <w:vAlign w:val="center"/>
            <w:textDirection w:val="lrTb"/>
            <w:noWrap/>
          </w:tcPr>
          <w:p>
            <w:pPr>
              <w:rPr>
                <w:rFonts w:hint="eastAsia"/>
                <w:sz w:val="20"/>
                <w:szCs w:val="20"/>
              </w:rPr>
            </w:pPr>
            <w:r>
              <w:rPr>
                <w:rFonts w:hint="eastAsia"/>
                <w:sz w:val="20"/>
                <w:szCs w:val="20"/>
              </w:rPr>
              <w:t xml:space="preserve">双层工作台6</w:t>
            </w: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tcPr>
          <w:p>
            <w:pPr>
              <w:rPr>
                <w:rFonts w:hint="eastAsia"/>
                <w:sz w:val="20"/>
                <w:szCs w:val="20"/>
              </w:rPr>
            </w:pPr>
            <w:r>
              <w:rPr>
                <w:rFonts w:hint="eastAsia"/>
                <w:sz w:val="20"/>
                <w:szCs w:val="20"/>
              </w:rPr>
              <w:t xml:space="preserve">1500*760*800+100</w:t>
            </w:r>
            <w:r/>
          </w:p>
        </w:tc>
        <w:tc>
          <w:tcPr>
            <w:tcBorders>
              <w:top w:val="none" w:color="000000" w:sz="4" w:space="0"/>
              <w:left w:val="none" w:color="000000" w:sz="4" w:space="0"/>
              <w:bottom w:val="single" w:color="auto" w:sz="4" w:space="0"/>
              <w:right w:val="single" w:color="auto" w:sz="4" w:space="0"/>
            </w:tcBorders>
            <w:tcW w:w="3992" w:type="dxa"/>
            <w:textDirection w:val="lrTb"/>
            <w:noWrap w:val="false"/>
          </w:tcPr>
          <w:p>
            <w:pPr>
              <w:rPr>
                <w:rFonts w:hint="eastAsia"/>
                <w:sz w:val="20"/>
                <w:szCs w:val="20"/>
              </w:rPr>
            </w:pPr>
            <w:r>
              <w:rPr>
                <w:rFonts w:hint="eastAsia"/>
                <w:sz w:val="20"/>
                <w:szCs w:val="20"/>
              </w:rPr>
              <w:t xml:space="preserve">台面:采用SUS304 ≥1.5mm不锈钢板</w:t>
            </w:r>
            <w:r>
              <w:rPr>
                <w:rFonts w:hint="eastAsia"/>
                <w:sz w:val="20"/>
                <w:szCs w:val="20"/>
              </w:rPr>
              <w:br/>
              <w:t xml:space="preserve">层板：采用SUS304 ≥1.2mm不锈钢板</w:t>
            </w:r>
            <w:r>
              <w:rPr>
                <w:rFonts w:hint="eastAsia"/>
                <w:sz w:val="20"/>
                <w:szCs w:val="20"/>
              </w:rPr>
              <w:br/>
              <w:t xml:space="preserve">加强筋：采用SUS304 ≥1.2mm不锈钢板</w:t>
            </w:r>
            <w:r>
              <w:rPr>
                <w:rFonts w:hint="eastAsia"/>
                <w:sz w:val="20"/>
                <w:szCs w:val="20"/>
              </w:rPr>
              <w:br/>
              <w:t xml:space="preserve">脚架：采用SUS304 </w:t>
            </w:r>
            <w:r>
              <w:rPr>
                <w:rFonts w:ascii="Calibri" w:hAnsi="Calibri" w:cs="Calibri"/>
                <w:sz w:val="20"/>
                <w:szCs w:val="20"/>
              </w:rPr>
              <w:t xml:space="preserve">φ</w:t>
            </w:r>
            <w:r>
              <w:rPr>
                <w:rFonts w:hint="eastAsia"/>
                <w:sz w:val="20"/>
                <w:szCs w:val="20"/>
              </w:rPr>
              <w:t xml:space="preserve">38mm，厚度≥1.5mm不锈钢定形管                     </w:t>
            </w:r>
            <w:r>
              <w:rPr>
                <w:rFonts w:hint="eastAsia"/>
                <w:sz w:val="20"/>
                <w:szCs w:val="20"/>
              </w:rPr>
              <w:br/>
              <w:t xml:space="preserve">横档：采用SUS304 </w:t>
            </w:r>
            <w:r>
              <w:rPr>
                <w:rFonts w:ascii="Calibri" w:hAnsi="Calibri" w:cs="Calibri"/>
                <w:sz w:val="20"/>
                <w:szCs w:val="20"/>
              </w:rPr>
              <w:t xml:space="preserve">ф</w:t>
            </w:r>
            <w:r>
              <w:rPr>
                <w:rFonts w:hint="eastAsia"/>
                <w:sz w:val="20"/>
                <w:szCs w:val="20"/>
              </w:rPr>
              <w:t xml:space="preserve">25mm，厚度≥1.2mm不锈钢定形管</w:t>
            </w:r>
            <w:r>
              <w:rPr>
                <w:rFonts w:hint="eastAsia"/>
                <w:sz w:val="20"/>
                <w:szCs w:val="20"/>
              </w:rPr>
              <w:br/>
              <w:t xml:space="preserve">配SUS304 不锈钢调节子弹脚</w:t>
            </w:r>
            <w:r/>
          </w:p>
        </w:tc>
        <w:tc>
          <w:tcPr>
            <w:tcBorders>
              <w:top w:val="none" w:color="000000" w:sz="4" w:space="0"/>
              <w:left w:val="none" w:color="000000" w:sz="4" w:space="0"/>
              <w:bottom w:val="single" w:color="000000" w:sz="4" w:space="0"/>
              <w:right w:val="single" w:color="000000"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000000" w:sz="4" w:space="0"/>
              <w:right w:val="single" w:color="000000" w:sz="4" w:space="0"/>
            </w:tcBorders>
            <w:tcW w:w="631" w:type="dxa"/>
            <w:vAlign w:val="center"/>
            <w:textDirection w:val="lrTb"/>
            <w:noWrap/>
          </w:tcPr>
          <w:p>
            <w:pPr>
              <w:jc w:val="center"/>
              <w:rPr>
                <w:rFonts w:hint="eastAsia"/>
                <w:sz w:val="20"/>
                <w:szCs w:val="20"/>
              </w:rPr>
            </w:pPr>
            <w:r>
              <w:rPr>
                <w:rFonts w:hint="eastAsia"/>
                <w:sz w:val="20"/>
                <w:szCs w:val="20"/>
              </w:rPr>
              <w:t xml:space="preserve">3</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15</w:t>
            </w:r>
            <w:r/>
          </w:p>
        </w:tc>
        <w:tc>
          <w:tcPr>
            <w:tcBorders>
              <w:top w:val="none" w:color="000000" w:sz="4" w:space="0"/>
              <w:left w:val="none" w:color="000000" w:sz="4" w:space="0"/>
              <w:bottom w:val="single" w:color="000000" w:sz="4" w:space="0"/>
              <w:right w:val="single" w:color="000000" w:sz="4" w:space="0"/>
            </w:tcBorders>
            <w:tcW w:w="1637" w:type="dxa"/>
            <w:vAlign w:val="center"/>
            <w:textDirection w:val="lrTb"/>
            <w:noWrap/>
          </w:tcPr>
          <w:p>
            <w:pPr>
              <w:rPr>
                <w:rFonts w:hint="eastAsia"/>
                <w:sz w:val="20"/>
                <w:szCs w:val="20"/>
              </w:rPr>
            </w:pPr>
            <w:r>
              <w:rPr>
                <w:rFonts w:hint="eastAsia"/>
                <w:sz w:val="20"/>
                <w:szCs w:val="20"/>
              </w:rPr>
              <w:t xml:space="preserve">双层工作台7</w:t>
            </w: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tcPr>
          <w:p>
            <w:pPr>
              <w:rPr>
                <w:rFonts w:hint="eastAsia"/>
                <w:sz w:val="20"/>
                <w:szCs w:val="20"/>
              </w:rPr>
            </w:pPr>
            <w:r>
              <w:rPr>
                <w:rFonts w:hint="eastAsia"/>
                <w:sz w:val="20"/>
                <w:szCs w:val="20"/>
              </w:rPr>
              <w:t xml:space="preserve">1800*800*800</w:t>
            </w:r>
            <w:r/>
          </w:p>
        </w:tc>
        <w:tc>
          <w:tcPr>
            <w:tcBorders>
              <w:top w:val="none" w:color="000000" w:sz="4" w:space="0"/>
              <w:left w:val="none" w:color="000000" w:sz="4" w:space="0"/>
              <w:bottom w:val="single" w:color="auto" w:sz="4" w:space="0"/>
              <w:right w:val="single" w:color="auto" w:sz="4" w:space="0"/>
            </w:tcBorders>
            <w:tcW w:w="3992" w:type="dxa"/>
            <w:textDirection w:val="lrTb"/>
            <w:noWrap w:val="false"/>
          </w:tcPr>
          <w:p>
            <w:pPr>
              <w:rPr>
                <w:rFonts w:hint="eastAsia"/>
                <w:sz w:val="20"/>
                <w:szCs w:val="20"/>
              </w:rPr>
            </w:pPr>
            <w:r>
              <w:rPr>
                <w:rFonts w:hint="eastAsia"/>
                <w:sz w:val="20"/>
                <w:szCs w:val="20"/>
              </w:rPr>
              <w:t xml:space="preserve">台面:采用SUS304 ≥1.5mm不锈钢板</w:t>
            </w:r>
            <w:r>
              <w:rPr>
                <w:rFonts w:hint="eastAsia"/>
                <w:sz w:val="20"/>
                <w:szCs w:val="20"/>
              </w:rPr>
              <w:br/>
              <w:t xml:space="preserve">层板：采用SUS304 ≥1.2mm不锈钢板</w:t>
            </w:r>
            <w:r>
              <w:rPr>
                <w:rFonts w:hint="eastAsia"/>
                <w:sz w:val="20"/>
                <w:szCs w:val="20"/>
              </w:rPr>
              <w:br/>
              <w:t xml:space="preserve">加强筋：采用SUS304 ≥1.2mm不锈钢板</w:t>
            </w:r>
            <w:r>
              <w:rPr>
                <w:rFonts w:hint="eastAsia"/>
                <w:sz w:val="20"/>
                <w:szCs w:val="20"/>
              </w:rPr>
              <w:br/>
              <w:t xml:space="preserve">脚架：采用SUS304 </w:t>
            </w:r>
            <w:r>
              <w:rPr>
                <w:rFonts w:ascii="Calibri" w:hAnsi="Calibri" w:cs="Calibri"/>
                <w:sz w:val="20"/>
                <w:szCs w:val="20"/>
              </w:rPr>
              <w:t xml:space="preserve">φ</w:t>
            </w:r>
            <w:r>
              <w:rPr>
                <w:rFonts w:hint="eastAsia"/>
                <w:sz w:val="20"/>
                <w:szCs w:val="20"/>
              </w:rPr>
              <w:t xml:space="preserve">38mm，厚度≥1.5mm不锈钢定形管                     </w:t>
            </w:r>
            <w:r>
              <w:rPr>
                <w:rFonts w:hint="eastAsia"/>
                <w:sz w:val="20"/>
                <w:szCs w:val="20"/>
              </w:rPr>
              <w:br/>
              <w:t xml:space="preserve">横档：采用SUS304 </w:t>
            </w:r>
            <w:r>
              <w:rPr>
                <w:rFonts w:ascii="Calibri" w:hAnsi="Calibri" w:cs="Calibri"/>
                <w:sz w:val="20"/>
                <w:szCs w:val="20"/>
              </w:rPr>
              <w:t xml:space="preserve">ф</w:t>
            </w:r>
            <w:r>
              <w:rPr>
                <w:rFonts w:hint="eastAsia"/>
                <w:sz w:val="20"/>
                <w:szCs w:val="20"/>
              </w:rPr>
              <w:t xml:space="preserve">25mm，厚度≥1.2mm</w:t>
            </w:r>
            <w:r>
              <w:rPr>
                <w:rFonts w:hint="eastAsia"/>
                <w:sz w:val="20"/>
                <w:szCs w:val="20"/>
              </w:rPr>
              <w:t xml:space="preserve">不锈钢定形管</w:t>
            </w:r>
            <w:r>
              <w:rPr>
                <w:rFonts w:hint="eastAsia"/>
                <w:sz w:val="20"/>
                <w:szCs w:val="20"/>
              </w:rPr>
              <w:br/>
              <w:t xml:space="preserve">配SUS304 不锈钢调节子弹脚</w:t>
            </w:r>
            <w:r/>
          </w:p>
        </w:tc>
        <w:tc>
          <w:tcPr>
            <w:tcBorders>
              <w:top w:val="none" w:color="000000" w:sz="4" w:space="0"/>
              <w:left w:val="none" w:color="000000" w:sz="4" w:space="0"/>
              <w:bottom w:val="single" w:color="000000" w:sz="4" w:space="0"/>
              <w:right w:val="single" w:color="000000"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000000" w:sz="4" w:space="0"/>
              <w:right w:val="single" w:color="000000" w:sz="4" w:space="0"/>
            </w:tcBorders>
            <w:tcW w:w="631" w:type="dxa"/>
            <w:vAlign w:val="center"/>
            <w:textDirection w:val="lrTb"/>
            <w:noWrap/>
          </w:tcPr>
          <w:p>
            <w:pPr>
              <w:jc w:val="center"/>
              <w:rPr>
                <w:rFonts w:hint="eastAsia"/>
                <w:sz w:val="20"/>
                <w:szCs w:val="20"/>
              </w:rPr>
            </w:pPr>
            <w:r>
              <w:rPr>
                <w:rFonts w:hint="eastAsia"/>
                <w:sz w:val="20"/>
                <w:szCs w:val="20"/>
              </w:rPr>
              <w:t xml:space="preserve">8</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16</w:t>
            </w:r>
            <w:r/>
          </w:p>
        </w:tc>
        <w:tc>
          <w:tcPr>
            <w:tcBorders>
              <w:top w:val="none" w:color="000000" w:sz="4" w:space="0"/>
              <w:left w:val="none" w:color="000000" w:sz="4" w:space="0"/>
              <w:bottom w:val="single" w:color="000000" w:sz="4" w:space="0"/>
              <w:right w:val="single" w:color="000000" w:sz="4" w:space="0"/>
            </w:tcBorders>
            <w:tcW w:w="1637" w:type="dxa"/>
            <w:vAlign w:val="center"/>
            <w:textDirection w:val="lrTb"/>
            <w:noWrap/>
          </w:tcPr>
          <w:p>
            <w:pPr>
              <w:rPr>
                <w:rFonts w:hint="eastAsia"/>
                <w:sz w:val="20"/>
                <w:szCs w:val="20"/>
              </w:rPr>
            </w:pPr>
            <w:r>
              <w:rPr>
                <w:rFonts w:hint="eastAsia"/>
                <w:sz w:val="20"/>
                <w:szCs w:val="20"/>
              </w:rPr>
              <w:t xml:space="preserve">双层工作台8</w:t>
            </w: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tcPr>
          <w:p>
            <w:pPr>
              <w:rPr>
                <w:rFonts w:hint="eastAsia"/>
                <w:sz w:val="20"/>
                <w:szCs w:val="20"/>
              </w:rPr>
            </w:pPr>
            <w:r>
              <w:rPr>
                <w:rFonts w:hint="eastAsia"/>
                <w:sz w:val="20"/>
                <w:szCs w:val="20"/>
              </w:rPr>
              <w:t xml:space="preserve">1200*600*800</w:t>
            </w:r>
            <w:r/>
          </w:p>
        </w:tc>
        <w:tc>
          <w:tcPr>
            <w:tcBorders>
              <w:top w:val="none" w:color="000000" w:sz="4" w:space="0"/>
              <w:left w:val="none" w:color="000000" w:sz="4" w:space="0"/>
              <w:bottom w:val="single" w:color="auto" w:sz="4" w:space="0"/>
              <w:right w:val="single" w:color="auto" w:sz="4" w:space="0"/>
            </w:tcBorders>
            <w:tcW w:w="3992" w:type="dxa"/>
            <w:textDirection w:val="lrTb"/>
            <w:noWrap w:val="false"/>
          </w:tcPr>
          <w:p>
            <w:pPr>
              <w:rPr>
                <w:rFonts w:hint="eastAsia"/>
                <w:sz w:val="20"/>
                <w:szCs w:val="20"/>
              </w:rPr>
            </w:pPr>
            <w:r>
              <w:rPr>
                <w:rFonts w:hint="eastAsia"/>
                <w:sz w:val="20"/>
                <w:szCs w:val="20"/>
              </w:rPr>
              <w:t xml:space="preserve">台面:采用SUS304 ≥1.5mm不锈钢板</w:t>
            </w:r>
            <w:r>
              <w:rPr>
                <w:rFonts w:hint="eastAsia"/>
                <w:sz w:val="20"/>
                <w:szCs w:val="20"/>
              </w:rPr>
              <w:br/>
              <w:t xml:space="preserve">层板：采用SUS304 ≥1.2mm不锈钢板</w:t>
            </w:r>
            <w:r>
              <w:rPr>
                <w:rFonts w:hint="eastAsia"/>
                <w:sz w:val="20"/>
                <w:szCs w:val="20"/>
              </w:rPr>
              <w:br/>
              <w:t xml:space="preserve">加强筋：采用SUS304 ≥1.2mm不锈钢板</w:t>
            </w:r>
            <w:r>
              <w:rPr>
                <w:rFonts w:hint="eastAsia"/>
                <w:sz w:val="20"/>
                <w:szCs w:val="20"/>
              </w:rPr>
              <w:br/>
              <w:t xml:space="preserve">脚架：采用SUS304 </w:t>
            </w:r>
            <w:r>
              <w:rPr>
                <w:rFonts w:ascii="Calibri" w:hAnsi="Calibri" w:cs="Calibri"/>
                <w:sz w:val="20"/>
                <w:szCs w:val="20"/>
              </w:rPr>
              <w:t xml:space="preserve">φ</w:t>
            </w:r>
            <w:r>
              <w:rPr>
                <w:rFonts w:hint="eastAsia"/>
                <w:sz w:val="20"/>
                <w:szCs w:val="20"/>
              </w:rPr>
              <w:t xml:space="preserve">38mm，厚度≥1.5mm不锈钢定形管                     </w:t>
            </w:r>
            <w:r>
              <w:rPr>
                <w:rFonts w:hint="eastAsia"/>
                <w:sz w:val="20"/>
                <w:szCs w:val="20"/>
              </w:rPr>
              <w:br/>
              <w:t xml:space="preserve">横档：采用SUS304 </w:t>
            </w:r>
            <w:r>
              <w:rPr>
                <w:rFonts w:ascii="Calibri" w:hAnsi="Calibri" w:cs="Calibri"/>
                <w:sz w:val="20"/>
                <w:szCs w:val="20"/>
              </w:rPr>
              <w:t xml:space="preserve">ф</w:t>
            </w:r>
            <w:r>
              <w:rPr>
                <w:rFonts w:hint="eastAsia"/>
                <w:sz w:val="20"/>
                <w:szCs w:val="20"/>
              </w:rPr>
              <w:t xml:space="preserve">25mm，厚度≥1.2mm不锈钢定形管</w:t>
            </w:r>
            <w:r>
              <w:rPr>
                <w:rFonts w:hint="eastAsia"/>
                <w:sz w:val="20"/>
                <w:szCs w:val="20"/>
              </w:rPr>
              <w:br/>
              <w:t xml:space="preserve">配SUS304 不锈钢调节子弹脚</w:t>
            </w:r>
            <w:r/>
          </w:p>
        </w:tc>
        <w:tc>
          <w:tcPr>
            <w:tcBorders>
              <w:top w:val="none" w:color="000000" w:sz="4" w:space="0"/>
              <w:left w:val="none" w:color="000000" w:sz="4" w:space="0"/>
              <w:bottom w:val="single" w:color="000000" w:sz="4" w:space="0"/>
              <w:right w:val="single" w:color="000000"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000000" w:sz="4" w:space="0"/>
              <w:right w:val="single" w:color="000000" w:sz="4" w:space="0"/>
            </w:tcBorders>
            <w:tcW w:w="631" w:type="dxa"/>
            <w:vAlign w:val="center"/>
            <w:textDirection w:val="lrTb"/>
            <w:noWrap/>
          </w:tcPr>
          <w:p>
            <w:pPr>
              <w:jc w:val="center"/>
              <w:rPr>
                <w:rFonts w:hint="eastAsia"/>
                <w:sz w:val="20"/>
                <w:szCs w:val="20"/>
              </w:rPr>
            </w:pPr>
            <w:r>
              <w:rPr>
                <w:rFonts w:hint="eastAsia"/>
                <w:sz w:val="20"/>
                <w:szCs w:val="20"/>
              </w:rPr>
              <w:t xml:space="preserve">4</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17</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双层工作台9</w:t>
            </w: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tcPr>
          <w:p>
            <w:pPr>
              <w:rPr>
                <w:rFonts w:hint="eastAsia"/>
                <w:sz w:val="20"/>
                <w:szCs w:val="20"/>
              </w:rPr>
            </w:pPr>
            <w:r>
              <w:rPr>
                <w:rFonts w:hint="eastAsia"/>
                <w:sz w:val="20"/>
                <w:szCs w:val="20"/>
              </w:rPr>
              <w:t xml:space="preserve">1400*760*800+100</w:t>
            </w:r>
            <w:r/>
          </w:p>
        </w:tc>
        <w:tc>
          <w:tcPr>
            <w:tcBorders>
              <w:top w:val="none" w:color="000000" w:sz="4" w:space="0"/>
              <w:left w:val="none" w:color="000000" w:sz="4" w:space="0"/>
              <w:bottom w:val="single" w:color="auto" w:sz="4" w:space="0"/>
              <w:right w:val="single" w:color="auto" w:sz="4" w:space="0"/>
            </w:tcBorders>
            <w:tcW w:w="3992" w:type="dxa"/>
            <w:textDirection w:val="lrTb"/>
            <w:noWrap w:val="false"/>
          </w:tcPr>
          <w:p>
            <w:pPr>
              <w:rPr>
                <w:rFonts w:hint="eastAsia"/>
                <w:sz w:val="20"/>
                <w:szCs w:val="20"/>
              </w:rPr>
            </w:pPr>
            <w:r>
              <w:rPr>
                <w:rFonts w:hint="eastAsia"/>
                <w:sz w:val="20"/>
                <w:szCs w:val="20"/>
              </w:rPr>
              <w:t xml:space="preserve">台面:采用SUS304 ≥1.5mm不锈钢板</w:t>
            </w:r>
            <w:r>
              <w:rPr>
                <w:rFonts w:hint="eastAsia"/>
                <w:sz w:val="20"/>
                <w:szCs w:val="20"/>
              </w:rPr>
              <w:br/>
              <w:t xml:space="preserve">层板：采用SUS304 ≥1.2mm不锈钢板</w:t>
            </w:r>
            <w:r>
              <w:rPr>
                <w:rFonts w:hint="eastAsia"/>
                <w:sz w:val="20"/>
                <w:szCs w:val="20"/>
              </w:rPr>
              <w:br/>
              <w:t xml:space="preserve">加强筋：采用SUS304 ≥1.2mm不锈钢板</w:t>
            </w:r>
            <w:r>
              <w:rPr>
                <w:rFonts w:hint="eastAsia"/>
                <w:sz w:val="20"/>
                <w:szCs w:val="20"/>
              </w:rPr>
              <w:br/>
              <w:t xml:space="preserve">脚架：采用SUS304 </w:t>
            </w:r>
            <w:r>
              <w:rPr>
                <w:rFonts w:ascii="Calibri" w:hAnsi="Calibri" w:cs="Calibri"/>
                <w:sz w:val="20"/>
                <w:szCs w:val="20"/>
              </w:rPr>
              <w:t xml:space="preserve">φ</w:t>
            </w:r>
            <w:r>
              <w:rPr>
                <w:rFonts w:hint="eastAsia"/>
                <w:sz w:val="20"/>
                <w:szCs w:val="20"/>
              </w:rPr>
              <w:t xml:space="preserve">38mm，厚度≥1.5mm不锈钢定形管                     </w:t>
            </w:r>
            <w:r>
              <w:rPr>
                <w:rFonts w:hint="eastAsia"/>
                <w:sz w:val="20"/>
                <w:szCs w:val="20"/>
              </w:rPr>
              <w:br/>
              <w:t xml:space="preserve">横档：采用SUS304 </w:t>
            </w:r>
            <w:r>
              <w:rPr>
                <w:rFonts w:ascii="Calibri" w:hAnsi="Calibri" w:cs="Calibri"/>
                <w:sz w:val="20"/>
                <w:szCs w:val="20"/>
              </w:rPr>
              <w:t xml:space="preserve">ф</w:t>
            </w:r>
            <w:r>
              <w:rPr>
                <w:rFonts w:hint="eastAsia"/>
                <w:sz w:val="20"/>
                <w:szCs w:val="20"/>
              </w:rPr>
              <w:t xml:space="preserve">25mm，厚度≥1.2mm不锈钢定形管</w:t>
            </w:r>
            <w:r>
              <w:rPr>
                <w:rFonts w:hint="eastAsia"/>
                <w:sz w:val="20"/>
                <w:szCs w:val="20"/>
              </w:rPr>
              <w:br/>
              <w:t xml:space="preserve">配SUS304 不锈钢调节子弹脚</w:t>
            </w:r>
            <w:r/>
          </w:p>
        </w:tc>
        <w:tc>
          <w:tcPr>
            <w:tcBorders>
              <w:top w:val="none" w:color="000000" w:sz="4" w:space="0"/>
              <w:left w:val="none" w:color="000000" w:sz="4" w:space="0"/>
              <w:bottom w:val="single" w:color="000000" w:sz="4" w:space="0"/>
              <w:right w:val="single" w:color="000000"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000000" w:sz="4" w:space="0"/>
              <w:right w:val="single" w:color="000000" w:sz="4" w:space="0"/>
            </w:tcBorders>
            <w:tcW w:w="631" w:type="dxa"/>
            <w:vAlign w:val="center"/>
            <w:textDirection w:val="lrTb"/>
            <w:noWrap/>
          </w:tcPr>
          <w:p>
            <w:pPr>
              <w:jc w:val="center"/>
              <w:rPr>
                <w:rFonts w:hint="eastAsia"/>
                <w:sz w:val="20"/>
                <w:szCs w:val="20"/>
              </w:rPr>
            </w:pPr>
            <w:r>
              <w:rPr>
                <w:rFonts w:hint="eastAsia"/>
                <w:sz w:val="20"/>
                <w:szCs w:val="20"/>
              </w:rPr>
              <w:t xml:space="preserve">1</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18</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双层工作台10</w:t>
            </w: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tcPr>
          <w:p>
            <w:pPr>
              <w:rPr>
                <w:rFonts w:hint="eastAsia"/>
                <w:sz w:val="20"/>
                <w:szCs w:val="20"/>
              </w:rPr>
            </w:pPr>
            <w:r>
              <w:rPr>
                <w:rFonts w:hint="eastAsia"/>
                <w:sz w:val="20"/>
                <w:szCs w:val="20"/>
              </w:rPr>
              <w:t xml:space="preserve">1200*760*800+100</w:t>
            </w:r>
            <w:r/>
          </w:p>
        </w:tc>
        <w:tc>
          <w:tcPr>
            <w:tcBorders>
              <w:top w:val="none" w:color="000000" w:sz="4" w:space="0"/>
              <w:left w:val="none" w:color="000000" w:sz="4" w:space="0"/>
              <w:bottom w:val="single" w:color="auto" w:sz="4" w:space="0"/>
              <w:right w:val="single" w:color="auto" w:sz="4" w:space="0"/>
            </w:tcBorders>
            <w:tcW w:w="3992" w:type="dxa"/>
            <w:textDirection w:val="lrTb"/>
            <w:noWrap w:val="false"/>
          </w:tcPr>
          <w:p>
            <w:pPr>
              <w:rPr>
                <w:rFonts w:hint="eastAsia"/>
                <w:sz w:val="20"/>
                <w:szCs w:val="20"/>
              </w:rPr>
            </w:pPr>
            <w:r>
              <w:rPr>
                <w:rFonts w:hint="eastAsia"/>
                <w:sz w:val="20"/>
                <w:szCs w:val="20"/>
              </w:rPr>
              <w:t xml:space="preserve">台面:采用SUS304 ≥1.5mm不锈钢板</w:t>
            </w:r>
            <w:r>
              <w:rPr>
                <w:rFonts w:hint="eastAsia"/>
                <w:sz w:val="20"/>
                <w:szCs w:val="20"/>
              </w:rPr>
              <w:br/>
              <w:t xml:space="preserve">层板：采用SUS304 ≥1.2mm不锈钢板</w:t>
            </w:r>
            <w:r>
              <w:rPr>
                <w:rFonts w:hint="eastAsia"/>
                <w:sz w:val="20"/>
                <w:szCs w:val="20"/>
              </w:rPr>
              <w:br/>
              <w:t xml:space="preserve">加强筋：采用SUS304 ≥1.2mm不锈钢板</w:t>
            </w:r>
            <w:r>
              <w:rPr>
                <w:rFonts w:hint="eastAsia"/>
                <w:sz w:val="20"/>
                <w:szCs w:val="20"/>
              </w:rPr>
              <w:br/>
              <w:t xml:space="preserve">脚架：采用SUS304 </w:t>
            </w:r>
            <w:r>
              <w:rPr>
                <w:rFonts w:ascii="Calibri" w:hAnsi="Calibri" w:cs="Calibri"/>
                <w:sz w:val="20"/>
                <w:szCs w:val="20"/>
              </w:rPr>
              <w:t xml:space="preserve">φ</w:t>
            </w:r>
            <w:r>
              <w:rPr>
                <w:rFonts w:hint="eastAsia"/>
                <w:sz w:val="20"/>
                <w:szCs w:val="20"/>
              </w:rPr>
              <w:t xml:space="preserve">38mm，厚度≥1.5mm不锈钢定形管                     </w:t>
            </w:r>
            <w:r>
              <w:rPr>
                <w:rFonts w:hint="eastAsia"/>
                <w:sz w:val="20"/>
                <w:szCs w:val="20"/>
              </w:rPr>
              <w:br/>
              <w:t xml:space="preserve">横档：采用SUS304 </w:t>
            </w:r>
            <w:r>
              <w:rPr>
                <w:rFonts w:ascii="Calibri" w:hAnsi="Calibri" w:cs="Calibri"/>
                <w:sz w:val="20"/>
                <w:szCs w:val="20"/>
              </w:rPr>
              <w:t xml:space="preserve">ф</w:t>
            </w:r>
            <w:r>
              <w:rPr>
                <w:rFonts w:hint="eastAsia"/>
                <w:sz w:val="20"/>
                <w:szCs w:val="20"/>
              </w:rPr>
              <w:t xml:space="preserve">25mm，厚度≥1.2mm不锈钢定形管</w:t>
            </w:r>
            <w:r>
              <w:rPr>
                <w:rFonts w:hint="eastAsia"/>
                <w:sz w:val="20"/>
                <w:szCs w:val="20"/>
              </w:rPr>
              <w:br/>
              <w:t xml:space="preserve">配SUS304 不锈钢调节子弹脚</w:t>
            </w:r>
            <w:r/>
          </w:p>
        </w:tc>
        <w:tc>
          <w:tcPr>
            <w:tcBorders>
              <w:top w:val="none" w:color="000000" w:sz="4" w:space="0"/>
              <w:left w:val="none" w:color="000000" w:sz="4" w:space="0"/>
              <w:bottom w:val="single" w:color="000000" w:sz="4" w:space="0"/>
              <w:right w:val="single" w:color="000000"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000000" w:sz="4" w:space="0"/>
              <w:right w:val="single" w:color="000000" w:sz="4" w:space="0"/>
            </w:tcBorders>
            <w:tcW w:w="631" w:type="dxa"/>
            <w:vAlign w:val="center"/>
            <w:textDirection w:val="lrTb"/>
            <w:noWrap/>
          </w:tcPr>
          <w:p>
            <w:pPr>
              <w:jc w:val="center"/>
              <w:rPr>
                <w:rFonts w:hint="eastAsia"/>
                <w:sz w:val="20"/>
                <w:szCs w:val="20"/>
              </w:rPr>
            </w:pPr>
            <w:r>
              <w:rPr>
                <w:rFonts w:hint="eastAsia"/>
                <w:sz w:val="20"/>
                <w:szCs w:val="20"/>
              </w:rPr>
              <w:t xml:space="preserve">2</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19</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双层工作台11</w:t>
            </w: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tcPr>
          <w:p>
            <w:pPr>
              <w:rPr>
                <w:rFonts w:hint="eastAsia"/>
                <w:sz w:val="20"/>
                <w:szCs w:val="20"/>
              </w:rPr>
            </w:pPr>
            <w:r>
              <w:rPr>
                <w:rFonts w:hint="eastAsia"/>
                <w:sz w:val="20"/>
                <w:szCs w:val="20"/>
              </w:rPr>
              <w:t xml:space="preserve">1500*760*800</w:t>
            </w:r>
            <w:r/>
          </w:p>
        </w:tc>
        <w:tc>
          <w:tcPr>
            <w:tcBorders>
              <w:top w:val="none" w:color="000000" w:sz="4" w:space="0"/>
              <w:left w:val="none" w:color="000000" w:sz="4" w:space="0"/>
              <w:bottom w:val="single" w:color="auto" w:sz="4" w:space="0"/>
              <w:right w:val="single" w:color="auto" w:sz="4" w:space="0"/>
            </w:tcBorders>
            <w:tcW w:w="3992" w:type="dxa"/>
            <w:textDirection w:val="lrTb"/>
            <w:noWrap w:val="false"/>
          </w:tcPr>
          <w:p>
            <w:pPr>
              <w:rPr>
                <w:rFonts w:hint="eastAsia"/>
                <w:sz w:val="20"/>
                <w:szCs w:val="20"/>
              </w:rPr>
            </w:pPr>
            <w:r>
              <w:rPr>
                <w:rFonts w:hint="eastAsia"/>
                <w:sz w:val="20"/>
                <w:szCs w:val="20"/>
              </w:rPr>
              <w:t xml:space="preserve">台面:采用SUS304 ≥1.5mm不锈钢板</w:t>
            </w:r>
            <w:r>
              <w:rPr>
                <w:rFonts w:hint="eastAsia"/>
                <w:sz w:val="20"/>
                <w:szCs w:val="20"/>
              </w:rPr>
              <w:br/>
              <w:t xml:space="preserve">层板：采用SUS304 ≥1.2mm不锈钢板</w:t>
            </w:r>
            <w:r>
              <w:rPr>
                <w:rFonts w:hint="eastAsia"/>
                <w:sz w:val="20"/>
                <w:szCs w:val="20"/>
              </w:rPr>
              <w:br/>
              <w:t xml:space="preserve">加强筋：采用SUS304 ≥1.2mm不锈钢板</w:t>
            </w:r>
            <w:r>
              <w:rPr>
                <w:rFonts w:hint="eastAsia"/>
                <w:sz w:val="20"/>
                <w:szCs w:val="20"/>
              </w:rPr>
              <w:br/>
              <w:t xml:space="preserve">脚架：采用SUS304 </w:t>
            </w:r>
            <w:r>
              <w:rPr>
                <w:rFonts w:ascii="Calibri" w:hAnsi="Calibri" w:cs="Calibri"/>
                <w:sz w:val="20"/>
                <w:szCs w:val="20"/>
              </w:rPr>
              <w:t xml:space="preserve">φ</w:t>
            </w:r>
            <w:r>
              <w:rPr>
                <w:rFonts w:hint="eastAsia"/>
                <w:sz w:val="20"/>
                <w:szCs w:val="20"/>
              </w:rPr>
              <w:t xml:space="preserve">38mm，厚度≥1.5mm不锈钢定形管                     </w:t>
            </w:r>
            <w:r>
              <w:rPr>
                <w:rFonts w:hint="eastAsia"/>
                <w:sz w:val="20"/>
                <w:szCs w:val="20"/>
              </w:rPr>
              <w:br/>
              <w:t xml:space="preserve">横档：采用SUS304 </w:t>
            </w:r>
            <w:r>
              <w:rPr>
                <w:rFonts w:ascii="Calibri" w:hAnsi="Calibri" w:cs="Calibri"/>
                <w:sz w:val="20"/>
                <w:szCs w:val="20"/>
              </w:rPr>
              <w:t xml:space="preserve">ф</w:t>
            </w:r>
            <w:r>
              <w:rPr>
                <w:rFonts w:hint="eastAsia"/>
                <w:sz w:val="20"/>
                <w:szCs w:val="20"/>
              </w:rPr>
              <w:t xml:space="preserve">25mm，厚度≥1.2mm不锈钢定形管</w:t>
            </w:r>
            <w:r>
              <w:rPr>
                <w:rFonts w:hint="eastAsia"/>
                <w:sz w:val="20"/>
                <w:szCs w:val="20"/>
              </w:rPr>
              <w:br/>
              <w:t xml:space="preserve">配SUS304 不锈钢调节子弹脚</w:t>
            </w:r>
            <w:r/>
          </w:p>
        </w:tc>
        <w:tc>
          <w:tcPr>
            <w:tcBorders>
              <w:top w:val="none" w:color="000000" w:sz="4" w:space="0"/>
              <w:left w:val="none" w:color="000000" w:sz="4" w:space="0"/>
              <w:bottom w:val="single" w:color="000000" w:sz="4" w:space="0"/>
              <w:right w:val="single" w:color="000000"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000000" w:sz="4" w:space="0"/>
              <w:right w:val="single" w:color="000000" w:sz="4" w:space="0"/>
            </w:tcBorders>
            <w:tcW w:w="631" w:type="dxa"/>
            <w:vAlign w:val="center"/>
            <w:textDirection w:val="lrTb"/>
            <w:noWrap/>
          </w:tcPr>
          <w:p>
            <w:pPr>
              <w:jc w:val="center"/>
              <w:rPr>
                <w:rFonts w:hint="eastAsia"/>
                <w:sz w:val="20"/>
                <w:szCs w:val="20"/>
              </w:rPr>
            </w:pPr>
            <w:r>
              <w:rPr>
                <w:rFonts w:hint="eastAsia"/>
                <w:sz w:val="20"/>
                <w:szCs w:val="20"/>
              </w:rPr>
              <w:t xml:space="preserve">6</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20</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双层工作台12</w:t>
            </w: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tcPr>
          <w:p>
            <w:pPr>
              <w:rPr>
                <w:rFonts w:hint="eastAsia"/>
                <w:sz w:val="20"/>
                <w:szCs w:val="20"/>
              </w:rPr>
            </w:pPr>
            <w:r>
              <w:rPr>
                <w:rFonts w:hint="eastAsia"/>
                <w:sz w:val="20"/>
                <w:szCs w:val="20"/>
              </w:rPr>
              <w:t xml:space="preserve">600*700*800+100</w:t>
            </w:r>
            <w:r/>
          </w:p>
        </w:tc>
        <w:tc>
          <w:tcPr>
            <w:tcBorders>
              <w:top w:val="none" w:color="000000" w:sz="4" w:space="0"/>
              <w:left w:val="none" w:color="000000" w:sz="4" w:space="0"/>
              <w:bottom w:val="single" w:color="auto" w:sz="4" w:space="0"/>
              <w:right w:val="single" w:color="auto" w:sz="4" w:space="0"/>
            </w:tcBorders>
            <w:tcW w:w="3992" w:type="dxa"/>
            <w:textDirection w:val="lrTb"/>
            <w:noWrap w:val="false"/>
          </w:tcPr>
          <w:p>
            <w:pPr>
              <w:rPr>
                <w:rFonts w:hint="eastAsia"/>
                <w:sz w:val="20"/>
                <w:szCs w:val="20"/>
              </w:rPr>
            </w:pPr>
            <w:r>
              <w:rPr>
                <w:rFonts w:hint="eastAsia"/>
                <w:sz w:val="20"/>
                <w:szCs w:val="20"/>
              </w:rPr>
              <w:t xml:space="preserve">台面:采用SUS304 ≥1.5mm不锈钢板</w:t>
            </w:r>
            <w:r>
              <w:rPr>
                <w:rFonts w:hint="eastAsia"/>
                <w:sz w:val="20"/>
                <w:szCs w:val="20"/>
              </w:rPr>
              <w:br/>
              <w:t xml:space="preserve">层板：采用SUS304 ≥1.2mm不锈钢板</w:t>
            </w:r>
            <w:r>
              <w:rPr>
                <w:rFonts w:hint="eastAsia"/>
                <w:sz w:val="20"/>
                <w:szCs w:val="20"/>
              </w:rPr>
              <w:br/>
            </w:r>
            <w:r>
              <w:rPr>
                <w:rFonts w:hint="eastAsia"/>
                <w:sz w:val="20"/>
                <w:szCs w:val="20"/>
              </w:rPr>
              <w:t xml:space="preserve">加强筋：采用SUS304 ≥1.2mm不锈钢板</w:t>
            </w:r>
            <w:r>
              <w:rPr>
                <w:rFonts w:hint="eastAsia"/>
                <w:sz w:val="20"/>
                <w:szCs w:val="20"/>
              </w:rPr>
              <w:br/>
              <w:t xml:space="preserve">脚架：采用SUS304 </w:t>
            </w:r>
            <w:r>
              <w:rPr>
                <w:rFonts w:ascii="Calibri" w:hAnsi="Calibri" w:cs="Calibri"/>
                <w:sz w:val="20"/>
                <w:szCs w:val="20"/>
              </w:rPr>
              <w:t xml:space="preserve">φ</w:t>
            </w:r>
            <w:r>
              <w:rPr>
                <w:rFonts w:hint="eastAsia"/>
                <w:sz w:val="20"/>
                <w:szCs w:val="20"/>
              </w:rPr>
              <w:t xml:space="preserve">38mm，厚度≥1.5mm不锈钢定形管                     </w:t>
            </w:r>
            <w:r>
              <w:rPr>
                <w:rFonts w:hint="eastAsia"/>
                <w:sz w:val="20"/>
                <w:szCs w:val="20"/>
              </w:rPr>
              <w:br/>
              <w:t xml:space="preserve">横档：采用SUS304 </w:t>
            </w:r>
            <w:r>
              <w:rPr>
                <w:rFonts w:ascii="Calibri" w:hAnsi="Calibri" w:cs="Calibri"/>
                <w:sz w:val="20"/>
                <w:szCs w:val="20"/>
              </w:rPr>
              <w:t xml:space="preserve">ф</w:t>
            </w:r>
            <w:r>
              <w:rPr>
                <w:rFonts w:hint="eastAsia"/>
                <w:sz w:val="20"/>
                <w:szCs w:val="20"/>
              </w:rPr>
              <w:t xml:space="preserve">25mm，厚度≥1.2mm不锈钢定形管</w:t>
            </w:r>
            <w:r>
              <w:rPr>
                <w:rFonts w:hint="eastAsia"/>
                <w:sz w:val="20"/>
                <w:szCs w:val="20"/>
              </w:rPr>
              <w:br/>
              <w:t xml:space="preserve">配SUS304 不锈钢调节子弹脚</w:t>
            </w:r>
            <w:r/>
          </w:p>
        </w:tc>
        <w:tc>
          <w:tcPr>
            <w:tcBorders>
              <w:top w:val="none" w:color="000000" w:sz="4" w:space="0"/>
              <w:left w:val="none" w:color="000000" w:sz="4" w:space="0"/>
              <w:bottom w:val="single" w:color="000000" w:sz="4" w:space="0"/>
              <w:right w:val="single" w:color="000000"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000000" w:sz="4" w:space="0"/>
              <w:right w:val="single" w:color="000000" w:sz="4" w:space="0"/>
            </w:tcBorders>
            <w:tcW w:w="631" w:type="dxa"/>
            <w:vAlign w:val="center"/>
            <w:textDirection w:val="lrTb"/>
            <w:noWrap/>
          </w:tcPr>
          <w:p>
            <w:pPr>
              <w:jc w:val="center"/>
              <w:rPr>
                <w:rFonts w:hint="eastAsia"/>
                <w:sz w:val="20"/>
                <w:szCs w:val="20"/>
              </w:rPr>
            </w:pPr>
            <w:r>
              <w:rPr>
                <w:rFonts w:hint="eastAsia"/>
                <w:sz w:val="20"/>
                <w:szCs w:val="20"/>
              </w:rPr>
              <w:t xml:space="preserve">13</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21</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双层工作台13</w:t>
            </w: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tcPr>
          <w:p>
            <w:pPr>
              <w:rPr>
                <w:rFonts w:hint="eastAsia"/>
                <w:sz w:val="20"/>
                <w:szCs w:val="20"/>
              </w:rPr>
            </w:pPr>
            <w:r>
              <w:rPr>
                <w:rFonts w:hint="eastAsia"/>
                <w:sz w:val="20"/>
                <w:szCs w:val="20"/>
              </w:rPr>
              <w:t xml:space="preserve">400*900*850+90</w:t>
            </w:r>
            <w:r/>
          </w:p>
        </w:tc>
        <w:tc>
          <w:tcPr>
            <w:tcBorders>
              <w:top w:val="none" w:color="000000" w:sz="4" w:space="0"/>
              <w:left w:val="none" w:color="000000" w:sz="4" w:space="0"/>
              <w:bottom w:val="single" w:color="auto" w:sz="4" w:space="0"/>
              <w:right w:val="single" w:color="auto" w:sz="4" w:space="0"/>
            </w:tcBorders>
            <w:tcW w:w="3992" w:type="dxa"/>
            <w:textDirection w:val="lrTb"/>
            <w:noWrap w:val="false"/>
          </w:tcPr>
          <w:p>
            <w:pPr>
              <w:rPr>
                <w:rFonts w:hint="eastAsia"/>
                <w:sz w:val="20"/>
                <w:szCs w:val="20"/>
              </w:rPr>
            </w:pPr>
            <w:r>
              <w:rPr>
                <w:rFonts w:hint="eastAsia"/>
                <w:sz w:val="20"/>
                <w:szCs w:val="20"/>
              </w:rPr>
              <w:t xml:space="preserve">台面:采用SUS304 ≥1.5mm不锈钢板</w:t>
            </w:r>
            <w:r>
              <w:rPr>
                <w:rFonts w:hint="eastAsia"/>
                <w:sz w:val="20"/>
                <w:szCs w:val="20"/>
              </w:rPr>
              <w:br/>
              <w:t xml:space="preserve">层板：采用SUS304 ≥1.2mm不锈钢板</w:t>
            </w:r>
            <w:r>
              <w:rPr>
                <w:rFonts w:hint="eastAsia"/>
                <w:sz w:val="20"/>
                <w:szCs w:val="20"/>
              </w:rPr>
              <w:br/>
              <w:t xml:space="preserve">加强筋：采用SUS304 ≥1.2mm不锈钢板</w:t>
            </w:r>
            <w:r>
              <w:rPr>
                <w:rFonts w:hint="eastAsia"/>
                <w:sz w:val="20"/>
                <w:szCs w:val="20"/>
              </w:rPr>
              <w:br/>
              <w:t xml:space="preserve">脚架：采用SUS304 </w:t>
            </w:r>
            <w:r>
              <w:rPr>
                <w:rFonts w:ascii="Calibri" w:hAnsi="Calibri" w:cs="Calibri"/>
                <w:sz w:val="20"/>
                <w:szCs w:val="20"/>
              </w:rPr>
              <w:t xml:space="preserve">φ</w:t>
            </w:r>
            <w:r>
              <w:rPr>
                <w:rFonts w:hint="eastAsia"/>
                <w:sz w:val="20"/>
                <w:szCs w:val="20"/>
              </w:rPr>
              <w:t xml:space="preserve">38mm，厚度≥1.5mm不锈钢定形管                     </w:t>
            </w:r>
            <w:r>
              <w:rPr>
                <w:rFonts w:hint="eastAsia"/>
                <w:sz w:val="20"/>
                <w:szCs w:val="20"/>
              </w:rPr>
              <w:br/>
              <w:t xml:space="preserve">横档：采用SUS304 </w:t>
            </w:r>
            <w:r>
              <w:rPr>
                <w:rFonts w:ascii="Calibri" w:hAnsi="Calibri" w:cs="Calibri"/>
                <w:sz w:val="20"/>
                <w:szCs w:val="20"/>
              </w:rPr>
              <w:t xml:space="preserve">ф</w:t>
            </w:r>
            <w:r>
              <w:rPr>
                <w:rFonts w:hint="eastAsia"/>
                <w:sz w:val="20"/>
                <w:szCs w:val="20"/>
              </w:rPr>
              <w:t xml:space="preserve">25mm，厚度≥1.2mm不锈钢定形管</w:t>
            </w:r>
            <w:r>
              <w:rPr>
                <w:rFonts w:hint="eastAsia"/>
                <w:sz w:val="20"/>
                <w:szCs w:val="20"/>
              </w:rPr>
              <w:br/>
              <w:t xml:space="preserve">配SUS304 不锈钢调节子弹脚</w:t>
            </w:r>
            <w:r/>
          </w:p>
        </w:tc>
        <w:tc>
          <w:tcPr>
            <w:tcBorders>
              <w:top w:val="none" w:color="000000" w:sz="4" w:space="0"/>
              <w:left w:val="none" w:color="000000" w:sz="4" w:space="0"/>
              <w:bottom w:val="single" w:color="000000" w:sz="4" w:space="0"/>
              <w:right w:val="single" w:color="000000"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000000" w:sz="4" w:space="0"/>
              <w:right w:val="single" w:color="000000" w:sz="4" w:space="0"/>
            </w:tcBorders>
            <w:tcW w:w="631" w:type="dxa"/>
            <w:vAlign w:val="center"/>
            <w:textDirection w:val="lrTb"/>
            <w:noWrap/>
          </w:tcPr>
          <w:p>
            <w:pPr>
              <w:jc w:val="center"/>
              <w:rPr>
                <w:rFonts w:hint="eastAsia"/>
                <w:sz w:val="20"/>
                <w:szCs w:val="20"/>
              </w:rPr>
            </w:pPr>
            <w:r>
              <w:rPr>
                <w:rFonts w:hint="eastAsia"/>
                <w:sz w:val="20"/>
                <w:szCs w:val="20"/>
              </w:rPr>
              <w:t xml:space="preserve">1</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22</w:t>
            </w:r>
            <w:r/>
          </w:p>
        </w:tc>
        <w:tc>
          <w:tcPr>
            <w:tcBorders>
              <w:top w:val="none" w:color="000000" w:sz="4" w:space="0"/>
              <w:left w:val="none" w:color="000000" w:sz="4" w:space="0"/>
              <w:bottom w:val="single" w:color="000000" w:sz="4" w:space="0"/>
              <w:right w:val="single" w:color="000000" w:sz="4" w:space="0"/>
            </w:tcBorders>
            <w:tcW w:w="1637" w:type="dxa"/>
            <w:vAlign w:val="center"/>
            <w:textDirection w:val="lrTb"/>
            <w:noWrap/>
          </w:tcPr>
          <w:p>
            <w:pPr>
              <w:rPr>
                <w:rFonts w:hint="eastAsia"/>
                <w:sz w:val="20"/>
                <w:szCs w:val="20"/>
              </w:rPr>
            </w:pPr>
            <w:r>
              <w:rPr>
                <w:rFonts w:hint="eastAsia"/>
                <w:sz w:val="20"/>
                <w:szCs w:val="20"/>
              </w:rPr>
              <w:t xml:space="preserve">双层工作台14</w:t>
            </w: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tcPr>
          <w:p>
            <w:pPr>
              <w:rPr>
                <w:rFonts w:hint="eastAsia"/>
                <w:sz w:val="20"/>
                <w:szCs w:val="20"/>
              </w:rPr>
            </w:pPr>
            <w:r>
              <w:rPr>
                <w:rFonts w:hint="eastAsia"/>
                <w:sz w:val="20"/>
                <w:szCs w:val="20"/>
              </w:rPr>
              <w:t xml:space="preserve">600*700*800</w:t>
            </w:r>
            <w:r/>
          </w:p>
        </w:tc>
        <w:tc>
          <w:tcPr>
            <w:tcBorders>
              <w:top w:val="none" w:color="000000" w:sz="4" w:space="0"/>
              <w:left w:val="none" w:color="000000" w:sz="4" w:space="0"/>
              <w:bottom w:val="single" w:color="auto" w:sz="4" w:space="0"/>
              <w:right w:val="single" w:color="auto" w:sz="4" w:space="0"/>
            </w:tcBorders>
            <w:tcW w:w="3992" w:type="dxa"/>
            <w:textDirection w:val="lrTb"/>
            <w:noWrap w:val="false"/>
          </w:tcPr>
          <w:p>
            <w:pPr>
              <w:rPr>
                <w:rFonts w:hint="eastAsia"/>
                <w:sz w:val="20"/>
                <w:szCs w:val="20"/>
              </w:rPr>
            </w:pPr>
            <w:r>
              <w:rPr>
                <w:rFonts w:hint="eastAsia"/>
                <w:sz w:val="20"/>
                <w:szCs w:val="20"/>
              </w:rPr>
              <w:t xml:space="preserve">台面:采用SUS304 ≥1.5mm不锈钢板</w:t>
            </w:r>
            <w:r>
              <w:rPr>
                <w:rFonts w:hint="eastAsia"/>
                <w:sz w:val="20"/>
                <w:szCs w:val="20"/>
              </w:rPr>
              <w:br/>
              <w:t xml:space="preserve">层板：采用SUS304 ≥1.2mm不锈钢板</w:t>
            </w:r>
            <w:r>
              <w:rPr>
                <w:rFonts w:hint="eastAsia"/>
                <w:sz w:val="20"/>
                <w:szCs w:val="20"/>
              </w:rPr>
              <w:br/>
              <w:t xml:space="preserve">加强筋：采用SUS304 ≥1.2mm不锈钢板</w:t>
            </w:r>
            <w:r>
              <w:rPr>
                <w:rFonts w:hint="eastAsia"/>
                <w:sz w:val="20"/>
                <w:szCs w:val="20"/>
              </w:rPr>
              <w:br/>
              <w:t xml:space="preserve">脚架：采用SUS304 </w:t>
            </w:r>
            <w:r>
              <w:rPr>
                <w:rFonts w:ascii="Calibri" w:hAnsi="Calibri" w:cs="Calibri"/>
                <w:sz w:val="20"/>
                <w:szCs w:val="20"/>
              </w:rPr>
              <w:t xml:space="preserve">φ</w:t>
            </w:r>
            <w:r>
              <w:rPr>
                <w:rFonts w:hint="eastAsia"/>
                <w:sz w:val="20"/>
                <w:szCs w:val="20"/>
              </w:rPr>
              <w:t xml:space="preserve">38mm，厚度≥1.5mm不锈钢定形管                     </w:t>
            </w:r>
            <w:r>
              <w:rPr>
                <w:rFonts w:hint="eastAsia"/>
                <w:sz w:val="20"/>
                <w:szCs w:val="20"/>
              </w:rPr>
              <w:br/>
              <w:t xml:space="preserve">横档：采用SUS304 </w:t>
            </w:r>
            <w:r>
              <w:rPr>
                <w:rFonts w:ascii="Calibri" w:hAnsi="Calibri" w:cs="Calibri"/>
                <w:sz w:val="20"/>
                <w:szCs w:val="20"/>
              </w:rPr>
              <w:t xml:space="preserve">ф</w:t>
            </w:r>
            <w:r>
              <w:rPr>
                <w:rFonts w:hint="eastAsia"/>
                <w:sz w:val="20"/>
                <w:szCs w:val="20"/>
              </w:rPr>
              <w:t xml:space="preserve">25mm，厚度≥1.2mm不锈钢定形管</w:t>
            </w:r>
            <w:r>
              <w:rPr>
                <w:rFonts w:hint="eastAsia"/>
                <w:sz w:val="20"/>
                <w:szCs w:val="20"/>
              </w:rPr>
              <w:br/>
              <w:t xml:space="preserve">配SUS304 不锈钢调节子弹脚</w:t>
            </w:r>
            <w:r/>
          </w:p>
        </w:tc>
        <w:tc>
          <w:tcPr>
            <w:tcBorders>
              <w:top w:val="none" w:color="000000" w:sz="4" w:space="0"/>
              <w:left w:val="none" w:color="000000" w:sz="4" w:space="0"/>
              <w:bottom w:val="single" w:color="000000" w:sz="4" w:space="0"/>
              <w:right w:val="single" w:color="000000"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000000" w:sz="4" w:space="0"/>
              <w:right w:val="single" w:color="000000" w:sz="4" w:space="0"/>
            </w:tcBorders>
            <w:tcW w:w="631" w:type="dxa"/>
            <w:vAlign w:val="center"/>
            <w:textDirection w:val="lrTb"/>
            <w:noWrap/>
          </w:tcPr>
          <w:p>
            <w:pPr>
              <w:jc w:val="center"/>
              <w:rPr>
                <w:rFonts w:hint="eastAsia"/>
                <w:sz w:val="20"/>
                <w:szCs w:val="20"/>
              </w:rPr>
            </w:pPr>
            <w:r>
              <w:rPr>
                <w:rFonts w:hint="eastAsia"/>
                <w:sz w:val="20"/>
                <w:szCs w:val="20"/>
              </w:rPr>
              <w:t xml:space="preserve">7</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23</w:t>
            </w:r>
            <w:r/>
          </w:p>
        </w:tc>
        <w:tc>
          <w:tcPr>
            <w:tcBorders>
              <w:top w:val="none" w:color="000000" w:sz="4" w:space="0"/>
              <w:left w:val="none" w:color="000000" w:sz="4" w:space="0"/>
              <w:bottom w:val="single" w:color="000000" w:sz="4" w:space="0"/>
              <w:right w:val="single" w:color="000000" w:sz="4" w:space="0"/>
            </w:tcBorders>
            <w:tcW w:w="1637" w:type="dxa"/>
            <w:vAlign w:val="center"/>
            <w:textDirection w:val="lrTb"/>
            <w:noWrap/>
          </w:tcPr>
          <w:p>
            <w:pPr>
              <w:rPr>
                <w:rFonts w:hint="eastAsia"/>
                <w:sz w:val="20"/>
                <w:szCs w:val="20"/>
              </w:rPr>
            </w:pPr>
            <w:r>
              <w:rPr>
                <w:rFonts w:hint="eastAsia"/>
                <w:sz w:val="20"/>
                <w:szCs w:val="20"/>
              </w:rPr>
              <w:t xml:space="preserve">双层工作台15</w:t>
            </w: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tcPr>
          <w:p>
            <w:pPr>
              <w:rPr>
                <w:rFonts w:hint="eastAsia"/>
                <w:sz w:val="20"/>
                <w:szCs w:val="20"/>
              </w:rPr>
            </w:pPr>
            <w:r>
              <w:rPr>
                <w:rFonts w:hint="eastAsia"/>
                <w:sz w:val="20"/>
                <w:szCs w:val="20"/>
              </w:rPr>
              <w:t xml:space="preserve">1500*700*800</w:t>
            </w:r>
            <w:r/>
          </w:p>
        </w:tc>
        <w:tc>
          <w:tcPr>
            <w:tcBorders>
              <w:top w:val="none" w:color="000000" w:sz="4" w:space="0"/>
              <w:left w:val="none" w:color="000000" w:sz="4" w:space="0"/>
              <w:bottom w:val="single" w:color="auto" w:sz="4" w:space="0"/>
              <w:right w:val="single" w:color="auto" w:sz="4" w:space="0"/>
            </w:tcBorders>
            <w:tcW w:w="3992" w:type="dxa"/>
            <w:textDirection w:val="lrTb"/>
            <w:noWrap w:val="false"/>
          </w:tcPr>
          <w:p>
            <w:pPr>
              <w:rPr>
                <w:rFonts w:hint="eastAsia"/>
                <w:sz w:val="20"/>
                <w:szCs w:val="20"/>
              </w:rPr>
            </w:pPr>
            <w:r>
              <w:rPr>
                <w:rFonts w:hint="eastAsia"/>
                <w:sz w:val="20"/>
                <w:szCs w:val="20"/>
              </w:rPr>
              <w:t xml:space="preserve">台面:采用SUS304 ≥1.5mm不锈钢板</w:t>
            </w:r>
            <w:r>
              <w:rPr>
                <w:rFonts w:hint="eastAsia"/>
                <w:sz w:val="20"/>
                <w:szCs w:val="20"/>
              </w:rPr>
              <w:br/>
              <w:t xml:space="preserve">层板：采用SUS304 ≥1.2mm不锈钢板</w:t>
            </w:r>
            <w:r>
              <w:rPr>
                <w:rFonts w:hint="eastAsia"/>
                <w:sz w:val="20"/>
                <w:szCs w:val="20"/>
              </w:rPr>
              <w:br/>
              <w:t xml:space="preserve">加强筋：采用SUS304 ≥1.2mm不锈钢板</w:t>
            </w:r>
            <w:r>
              <w:rPr>
                <w:rFonts w:hint="eastAsia"/>
                <w:sz w:val="20"/>
                <w:szCs w:val="20"/>
              </w:rPr>
              <w:br/>
              <w:t xml:space="preserve">脚架：采用SUS304 </w:t>
            </w:r>
            <w:r>
              <w:rPr>
                <w:rFonts w:ascii="Calibri" w:hAnsi="Calibri" w:cs="Calibri"/>
                <w:sz w:val="20"/>
                <w:szCs w:val="20"/>
              </w:rPr>
              <w:t xml:space="preserve">φ</w:t>
            </w:r>
            <w:r>
              <w:rPr>
                <w:rFonts w:hint="eastAsia"/>
                <w:sz w:val="20"/>
                <w:szCs w:val="20"/>
              </w:rPr>
              <w:t xml:space="preserve">38mm，厚度≥1.5mm不锈钢定形管                     </w:t>
            </w:r>
            <w:r>
              <w:rPr>
                <w:rFonts w:hint="eastAsia"/>
                <w:sz w:val="20"/>
                <w:szCs w:val="20"/>
              </w:rPr>
              <w:br/>
              <w:t xml:space="preserve">横档：采用SUS304 </w:t>
            </w:r>
            <w:r>
              <w:rPr>
                <w:rFonts w:ascii="Calibri" w:hAnsi="Calibri" w:cs="Calibri"/>
                <w:sz w:val="20"/>
                <w:szCs w:val="20"/>
              </w:rPr>
              <w:t xml:space="preserve">ф</w:t>
            </w:r>
            <w:r>
              <w:rPr>
                <w:rFonts w:hint="eastAsia"/>
                <w:sz w:val="20"/>
                <w:szCs w:val="20"/>
              </w:rPr>
              <w:t xml:space="preserve">25mm，厚度≥1.2mm不锈钢定形管</w:t>
            </w:r>
            <w:r>
              <w:rPr>
                <w:rFonts w:hint="eastAsia"/>
                <w:sz w:val="20"/>
                <w:szCs w:val="20"/>
              </w:rPr>
              <w:br/>
              <w:t xml:space="preserve">配SUS304 不锈钢调节子弹脚</w:t>
            </w:r>
            <w:r/>
          </w:p>
        </w:tc>
        <w:tc>
          <w:tcPr>
            <w:tcBorders>
              <w:top w:val="none" w:color="000000" w:sz="4" w:space="0"/>
              <w:left w:val="none" w:color="000000" w:sz="4" w:space="0"/>
              <w:bottom w:val="single" w:color="000000" w:sz="4" w:space="0"/>
              <w:right w:val="single" w:color="000000"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000000" w:sz="4" w:space="0"/>
              <w:right w:val="single" w:color="000000" w:sz="4" w:space="0"/>
            </w:tcBorders>
            <w:tcW w:w="631" w:type="dxa"/>
            <w:vAlign w:val="center"/>
            <w:textDirection w:val="lrTb"/>
            <w:noWrap/>
          </w:tcPr>
          <w:p>
            <w:pPr>
              <w:jc w:val="center"/>
              <w:rPr>
                <w:rFonts w:hint="eastAsia"/>
                <w:sz w:val="20"/>
                <w:szCs w:val="20"/>
              </w:rPr>
            </w:pPr>
            <w:r>
              <w:rPr>
                <w:rFonts w:hint="eastAsia"/>
                <w:sz w:val="20"/>
                <w:szCs w:val="20"/>
              </w:rPr>
              <w:t xml:space="preserve">14</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24</w:t>
            </w:r>
            <w:r/>
          </w:p>
        </w:tc>
        <w:tc>
          <w:tcPr>
            <w:tcBorders>
              <w:top w:val="none" w:color="000000" w:sz="4" w:space="0"/>
              <w:left w:val="none" w:color="000000" w:sz="4" w:space="0"/>
              <w:bottom w:val="single" w:color="000000" w:sz="4" w:space="0"/>
              <w:right w:val="single" w:color="000000" w:sz="4" w:space="0"/>
            </w:tcBorders>
            <w:tcW w:w="1637" w:type="dxa"/>
            <w:vAlign w:val="center"/>
            <w:textDirection w:val="lrTb"/>
            <w:noWrap/>
          </w:tcPr>
          <w:p>
            <w:pPr>
              <w:rPr>
                <w:rFonts w:hint="eastAsia"/>
                <w:sz w:val="20"/>
                <w:szCs w:val="20"/>
              </w:rPr>
            </w:pPr>
            <w:r>
              <w:rPr>
                <w:rFonts w:hint="eastAsia"/>
                <w:sz w:val="20"/>
                <w:szCs w:val="20"/>
              </w:rPr>
              <w:t xml:space="preserve">双层工作台16</w:t>
            </w: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tcPr>
          <w:p>
            <w:pPr>
              <w:rPr>
                <w:rFonts w:hint="eastAsia"/>
                <w:sz w:val="20"/>
                <w:szCs w:val="20"/>
              </w:rPr>
            </w:pPr>
            <w:r>
              <w:rPr>
                <w:rFonts w:hint="eastAsia"/>
                <w:sz w:val="20"/>
                <w:szCs w:val="20"/>
              </w:rPr>
              <w:t xml:space="preserve">1300*700*800</w:t>
            </w:r>
            <w:r/>
          </w:p>
        </w:tc>
        <w:tc>
          <w:tcPr>
            <w:tcBorders>
              <w:top w:val="none" w:color="000000" w:sz="4" w:space="0"/>
              <w:left w:val="none" w:color="000000" w:sz="4" w:space="0"/>
              <w:bottom w:val="single" w:color="auto" w:sz="4" w:space="0"/>
              <w:right w:val="single" w:color="auto" w:sz="4" w:space="0"/>
            </w:tcBorders>
            <w:tcW w:w="3992" w:type="dxa"/>
            <w:textDirection w:val="lrTb"/>
            <w:noWrap w:val="false"/>
          </w:tcPr>
          <w:p>
            <w:pPr>
              <w:rPr>
                <w:rFonts w:hint="eastAsia"/>
                <w:sz w:val="20"/>
                <w:szCs w:val="20"/>
              </w:rPr>
            </w:pPr>
            <w:r>
              <w:rPr>
                <w:rFonts w:hint="eastAsia"/>
                <w:sz w:val="20"/>
                <w:szCs w:val="20"/>
              </w:rPr>
              <w:t xml:space="preserve">台面:采用SUS304 ≥1.5mm不锈钢板</w:t>
            </w:r>
            <w:r>
              <w:rPr>
                <w:rFonts w:hint="eastAsia"/>
                <w:sz w:val="20"/>
                <w:szCs w:val="20"/>
              </w:rPr>
              <w:br/>
              <w:t xml:space="preserve">层板：采用SUS304 ≥1.2mm不锈钢板</w:t>
            </w:r>
            <w:r>
              <w:rPr>
                <w:rFonts w:hint="eastAsia"/>
                <w:sz w:val="20"/>
                <w:szCs w:val="20"/>
              </w:rPr>
              <w:br/>
              <w:t xml:space="preserve">加强筋：采用SUS304 ≥1.2mm不锈钢板</w:t>
            </w:r>
            <w:r>
              <w:rPr>
                <w:rFonts w:hint="eastAsia"/>
                <w:sz w:val="20"/>
                <w:szCs w:val="20"/>
              </w:rPr>
              <w:br/>
              <w:t xml:space="preserve">脚架：采用SUS304 </w:t>
            </w:r>
            <w:r>
              <w:rPr>
                <w:rFonts w:ascii="Calibri" w:hAnsi="Calibri" w:cs="Calibri"/>
                <w:sz w:val="20"/>
                <w:szCs w:val="20"/>
              </w:rPr>
              <w:t xml:space="preserve">φ</w:t>
            </w:r>
            <w:r>
              <w:rPr>
                <w:rFonts w:hint="eastAsia"/>
                <w:sz w:val="20"/>
                <w:szCs w:val="20"/>
              </w:rPr>
              <w:t xml:space="preserve">38mm，厚度≥1.5mm不锈钢定形管                     </w:t>
            </w:r>
            <w:r>
              <w:rPr>
                <w:rFonts w:hint="eastAsia"/>
                <w:sz w:val="20"/>
                <w:szCs w:val="20"/>
              </w:rPr>
              <w:br/>
              <w:t xml:space="preserve">横档：采用SUS304 </w:t>
            </w:r>
            <w:r>
              <w:rPr>
                <w:rFonts w:ascii="Calibri" w:hAnsi="Calibri" w:cs="Calibri"/>
                <w:sz w:val="20"/>
                <w:szCs w:val="20"/>
              </w:rPr>
              <w:t xml:space="preserve">ф</w:t>
            </w:r>
            <w:r>
              <w:rPr>
                <w:rFonts w:hint="eastAsia"/>
                <w:sz w:val="20"/>
                <w:szCs w:val="20"/>
              </w:rPr>
              <w:t xml:space="preserve">25mm，厚度≥1.2mm</w:t>
            </w:r>
            <w:r>
              <w:rPr>
                <w:rFonts w:hint="eastAsia"/>
                <w:sz w:val="20"/>
                <w:szCs w:val="20"/>
              </w:rPr>
              <w:t xml:space="preserve">不锈钢定形管</w:t>
            </w:r>
            <w:r>
              <w:rPr>
                <w:rFonts w:hint="eastAsia"/>
                <w:sz w:val="20"/>
                <w:szCs w:val="20"/>
              </w:rPr>
              <w:br/>
              <w:t xml:space="preserve">配SUS304 不锈钢调节子弹脚</w:t>
            </w:r>
            <w:r/>
          </w:p>
        </w:tc>
        <w:tc>
          <w:tcPr>
            <w:tcBorders>
              <w:top w:val="none" w:color="000000" w:sz="4" w:space="0"/>
              <w:left w:val="none" w:color="000000" w:sz="4" w:space="0"/>
              <w:bottom w:val="single" w:color="000000" w:sz="4" w:space="0"/>
              <w:right w:val="single" w:color="000000"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000000" w:sz="4" w:space="0"/>
              <w:right w:val="single" w:color="000000" w:sz="4" w:space="0"/>
            </w:tcBorders>
            <w:tcW w:w="631" w:type="dxa"/>
            <w:vAlign w:val="center"/>
            <w:textDirection w:val="lrTb"/>
            <w:noWrap/>
          </w:tcPr>
          <w:p>
            <w:pPr>
              <w:jc w:val="center"/>
              <w:rPr>
                <w:rFonts w:hint="eastAsia"/>
                <w:sz w:val="20"/>
                <w:szCs w:val="20"/>
              </w:rPr>
            </w:pPr>
            <w:r>
              <w:rPr>
                <w:rFonts w:hint="eastAsia"/>
                <w:sz w:val="20"/>
                <w:szCs w:val="20"/>
              </w:rPr>
              <w:t xml:space="preserve">1</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25</w:t>
            </w:r>
            <w:r/>
          </w:p>
        </w:tc>
        <w:tc>
          <w:tcPr>
            <w:tcBorders>
              <w:top w:val="none" w:color="000000" w:sz="4" w:space="0"/>
              <w:left w:val="none" w:color="000000" w:sz="4" w:space="0"/>
              <w:bottom w:val="single" w:color="000000" w:sz="4" w:space="0"/>
              <w:right w:val="single" w:color="000000" w:sz="4" w:space="0"/>
            </w:tcBorders>
            <w:tcW w:w="1637" w:type="dxa"/>
            <w:vAlign w:val="center"/>
            <w:textDirection w:val="lrTb"/>
            <w:noWrap/>
          </w:tcPr>
          <w:p>
            <w:pPr>
              <w:rPr>
                <w:rFonts w:hint="eastAsia"/>
                <w:sz w:val="20"/>
                <w:szCs w:val="20"/>
              </w:rPr>
            </w:pPr>
            <w:r>
              <w:rPr>
                <w:rFonts w:hint="eastAsia"/>
                <w:sz w:val="20"/>
                <w:szCs w:val="20"/>
              </w:rPr>
              <w:t xml:space="preserve">活动双层工作台</w:t>
            </w: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tcPr>
          <w:p>
            <w:pPr>
              <w:rPr>
                <w:rFonts w:hint="eastAsia"/>
                <w:sz w:val="20"/>
                <w:szCs w:val="20"/>
              </w:rPr>
            </w:pPr>
            <w:r>
              <w:rPr>
                <w:rFonts w:hint="eastAsia"/>
                <w:sz w:val="20"/>
                <w:szCs w:val="20"/>
              </w:rPr>
              <w:t xml:space="preserve">1500*760*800</w:t>
            </w:r>
            <w:r/>
          </w:p>
        </w:tc>
        <w:tc>
          <w:tcPr>
            <w:tcBorders>
              <w:top w:val="none" w:color="000000" w:sz="4" w:space="0"/>
              <w:left w:val="none" w:color="000000" w:sz="4" w:space="0"/>
              <w:bottom w:val="single" w:color="auto" w:sz="4" w:space="0"/>
              <w:right w:val="single" w:color="auto" w:sz="4" w:space="0"/>
            </w:tcBorders>
            <w:tcW w:w="3992" w:type="dxa"/>
            <w:textDirection w:val="lrTb"/>
            <w:noWrap w:val="false"/>
          </w:tcPr>
          <w:p>
            <w:pPr>
              <w:rPr>
                <w:rFonts w:hint="eastAsia"/>
                <w:sz w:val="20"/>
                <w:szCs w:val="20"/>
              </w:rPr>
            </w:pPr>
            <w:r>
              <w:rPr>
                <w:rFonts w:hint="eastAsia"/>
                <w:sz w:val="20"/>
                <w:szCs w:val="20"/>
              </w:rPr>
              <w:t xml:space="preserve">台面:采用SUS304 ≥1.5mm不锈钢板</w:t>
            </w:r>
            <w:r>
              <w:rPr>
                <w:rFonts w:hint="eastAsia"/>
                <w:sz w:val="20"/>
                <w:szCs w:val="20"/>
              </w:rPr>
              <w:br/>
              <w:t xml:space="preserve">层板：采用SUS304 ≥1.2mm不锈钢板</w:t>
            </w:r>
            <w:r>
              <w:rPr>
                <w:rFonts w:hint="eastAsia"/>
                <w:sz w:val="20"/>
                <w:szCs w:val="20"/>
              </w:rPr>
              <w:br/>
              <w:t xml:space="preserve">加强筋：采用SUS304 ≥1.2mm不锈钢板</w:t>
            </w:r>
            <w:r>
              <w:rPr>
                <w:rFonts w:hint="eastAsia"/>
                <w:sz w:val="20"/>
                <w:szCs w:val="20"/>
              </w:rPr>
              <w:br/>
              <w:t xml:space="preserve">脚架：采用SUS304 </w:t>
            </w:r>
            <w:r>
              <w:rPr>
                <w:rFonts w:ascii="Calibri" w:hAnsi="Calibri" w:cs="Calibri"/>
                <w:sz w:val="20"/>
                <w:szCs w:val="20"/>
              </w:rPr>
              <w:t xml:space="preserve">φ</w:t>
            </w:r>
            <w:r>
              <w:rPr>
                <w:rFonts w:hint="eastAsia"/>
                <w:sz w:val="20"/>
                <w:szCs w:val="20"/>
              </w:rPr>
              <w:t xml:space="preserve">38mm，厚度≥1.5mm不锈钢定形管                     </w:t>
            </w:r>
            <w:r>
              <w:rPr>
                <w:rFonts w:hint="eastAsia"/>
                <w:sz w:val="20"/>
                <w:szCs w:val="20"/>
              </w:rPr>
              <w:br/>
              <w:t xml:space="preserve">横档：采用SUS304 </w:t>
            </w:r>
            <w:r>
              <w:rPr>
                <w:rFonts w:ascii="Calibri" w:hAnsi="Calibri" w:cs="Calibri"/>
                <w:sz w:val="20"/>
                <w:szCs w:val="20"/>
              </w:rPr>
              <w:t xml:space="preserve">ф</w:t>
            </w:r>
            <w:r>
              <w:rPr>
                <w:rFonts w:hint="eastAsia"/>
                <w:sz w:val="20"/>
                <w:szCs w:val="20"/>
              </w:rPr>
              <w:t xml:space="preserve">25mm，厚度≥1.2mm不锈钢定形管</w:t>
            </w:r>
            <w:r>
              <w:rPr>
                <w:rFonts w:hint="eastAsia"/>
                <w:sz w:val="20"/>
                <w:szCs w:val="20"/>
              </w:rPr>
              <w:br/>
              <w:t xml:space="preserve">配SUS304 不锈钢调节子弹脚</w:t>
            </w:r>
            <w:r/>
          </w:p>
        </w:tc>
        <w:tc>
          <w:tcPr>
            <w:tcBorders>
              <w:top w:val="none" w:color="000000" w:sz="4" w:space="0"/>
              <w:left w:val="none" w:color="000000" w:sz="4" w:space="0"/>
              <w:bottom w:val="single" w:color="000000" w:sz="4" w:space="0"/>
              <w:right w:val="single" w:color="000000"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000000" w:sz="4" w:space="0"/>
              <w:right w:val="single" w:color="000000" w:sz="4" w:space="0"/>
            </w:tcBorders>
            <w:tcW w:w="631" w:type="dxa"/>
            <w:vAlign w:val="center"/>
            <w:textDirection w:val="lrTb"/>
            <w:noWrap/>
          </w:tcPr>
          <w:p>
            <w:pPr>
              <w:jc w:val="center"/>
              <w:rPr>
                <w:rFonts w:hint="eastAsia"/>
                <w:sz w:val="20"/>
                <w:szCs w:val="20"/>
              </w:rPr>
            </w:pPr>
            <w:r>
              <w:rPr>
                <w:rFonts w:hint="eastAsia"/>
                <w:sz w:val="20"/>
                <w:szCs w:val="20"/>
              </w:rPr>
              <w:t xml:space="preserve">2</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26</w:t>
            </w:r>
            <w:r/>
          </w:p>
        </w:tc>
        <w:tc>
          <w:tcPr>
            <w:tcBorders>
              <w:top w:val="none" w:color="000000" w:sz="4" w:space="0"/>
              <w:left w:val="none" w:color="000000" w:sz="4" w:space="0"/>
              <w:bottom w:val="single" w:color="000000" w:sz="4" w:space="0"/>
              <w:right w:val="single" w:color="000000" w:sz="4" w:space="0"/>
            </w:tcBorders>
            <w:tcW w:w="1637" w:type="dxa"/>
            <w:vAlign w:val="center"/>
            <w:textDirection w:val="lrTb"/>
            <w:noWrap/>
          </w:tcPr>
          <w:p>
            <w:pPr>
              <w:rPr>
                <w:rFonts w:hint="eastAsia"/>
                <w:sz w:val="20"/>
                <w:szCs w:val="20"/>
              </w:rPr>
            </w:pPr>
            <w:r>
              <w:rPr>
                <w:rFonts w:hint="eastAsia"/>
                <w:sz w:val="20"/>
                <w:szCs w:val="20"/>
              </w:rPr>
              <w:t xml:space="preserve">异型双层工作台1</w:t>
            </w: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tcPr>
          <w:p>
            <w:pPr>
              <w:rPr>
                <w:rFonts w:hint="eastAsia"/>
                <w:sz w:val="20"/>
                <w:szCs w:val="20"/>
              </w:rPr>
            </w:pPr>
            <w:r>
              <w:rPr>
                <w:rFonts w:hint="eastAsia"/>
                <w:sz w:val="20"/>
                <w:szCs w:val="20"/>
              </w:rPr>
              <w:t xml:space="preserve">1575*760*800+100</w:t>
            </w:r>
            <w:r/>
          </w:p>
        </w:tc>
        <w:tc>
          <w:tcPr>
            <w:tcBorders>
              <w:top w:val="none" w:color="000000" w:sz="4" w:space="0"/>
              <w:left w:val="none" w:color="000000" w:sz="4" w:space="0"/>
              <w:bottom w:val="single" w:color="auto" w:sz="4" w:space="0"/>
              <w:right w:val="single" w:color="auto" w:sz="4" w:space="0"/>
            </w:tcBorders>
            <w:tcW w:w="3992" w:type="dxa"/>
            <w:textDirection w:val="lrTb"/>
            <w:noWrap w:val="false"/>
          </w:tcPr>
          <w:p>
            <w:pPr>
              <w:rPr>
                <w:rFonts w:hint="eastAsia"/>
                <w:sz w:val="20"/>
                <w:szCs w:val="20"/>
              </w:rPr>
            </w:pPr>
            <w:r>
              <w:rPr>
                <w:rFonts w:hint="eastAsia"/>
                <w:sz w:val="20"/>
                <w:szCs w:val="20"/>
              </w:rPr>
              <w:t xml:space="preserve">台面:采用SUS304 ≥1.5mm不锈钢板</w:t>
            </w:r>
            <w:r>
              <w:rPr>
                <w:rFonts w:hint="eastAsia"/>
                <w:sz w:val="20"/>
                <w:szCs w:val="20"/>
              </w:rPr>
              <w:br/>
              <w:t xml:space="preserve">层板：采用SUS304 ≥1.2mm不锈钢板</w:t>
            </w:r>
            <w:r>
              <w:rPr>
                <w:rFonts w:hint="eastAsia"/>
                <w:sz w:val="20"/>
                <w:szCs w:val="20"/>
              </w:rPr>
              <w:br/>
              <w:t xml:space="preserve">加强筋：采用SUS304 ≥1.2mm不锈钢板</w:t>
            </w:r>
            <w:r>
              <w:rPr>
                <w:rFonts w:hint="eastAsia"/>
                <w:sz w:val="20"/>
                <w:szCs w:val="20"/>
              </w:rPr>
              <w:br/>
              <w:t xml:space="preserve">脚架：采用SUS304 </w:t>
            </w:r>
            <w:r>
              <w:rPr>
                <w:rFonts w:ascii="Calibri" w:hAnsi="Calibri" w:cs="Calibri"/>
                <w:sz w:val="20"/>
                <w:szCs w:val="20"/>
              </w:rPr>
              <w:t xml:space="preserve">φ</w:t>
            </w:r>
            <w:r>
              <w:rPr>
                <w:rFonts w:hint="eastAsia"/>
                <w:sz w:val="20"/>
                <w:szCs w:val="20"/>
              </w:rPr>
              <w:t xml:space="preserve">38mm，厚度≥1.5mm不锈钢定形管                     </w:t>
            </w:r>
            <w:r>
              <w:rPr>
                <w:rFonts w:hint="eastAsia"/>
                <w:sz w:val="20"/>
                <w:szCs w:val="20"/>
              </w:rPr>
              <w:br/>
              <w:t xml:space="preserve">横档：采用SUS304 </w:t>
            </w:r>
            <w:r>
              <w:rPr>
                <w:rFonts w:ascii="Calibri" w:hAnsi="Calibri" w:cs="Calibri"/>
                <w:sz w:val="20"/>
                <w:szCs w:val="20"/>
              </w:rPr>
              <w:t xml:space="preserve">ф</w:t>
            </w:r>
            <w:r>
              <w:rPr>
                <w:rFonts w:hint="eastAsia"/>
                <w:sz w:val="20"/>
                <w:szCs w:val="20"/>
              </w:rPr>
              <w:t xml:space="preserve">25mm，厚度≥1.2mm不锈钢定形管</w:t>
            </w:r>
            <w:r>
              <w:rPr>
                <w:rFonts w:hint="eastAsia"/>
                <w:sz w:val="20"/>
                <w:szCs w:val="20"/>
              </w:rPr>
              <w:br/>
              <w:t xml:space="preserve">配SUS304 不锈钢调节子弹脚</w:t>
            </w:r>
            <w:r/>
          </w:p>
        </w:tc>
        <w:tc>
          <w:tcPr>
            <w:tcBorders>
              <w:top w:val="none" w:color="000000" w:sz="4" w:space="0"/>
              <w:left w:val="none" w:color="000000" w:sz="4" w:space="0"/>
              <w:bottom w:val="single" w:color="000000" w:sz="4" w:space="0"/>
              <w:right w:val="single" w:color="000000"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000000" w:sz="4" w:space="0"/>
              <w:right w:val="single" w:color="000000" w:sz="4" w:space="0"/>
            </w:tcBorders>
            <w:tcW w:w="631" w:type="dxa"/>
            <w:vAlign w:val="center"/>
            <w:textDirection w:val="lrTb"/>
            <w:noWrap/>
          </w:tcPr>
          <w:p>
            <w:pPr>
              <w:jc w:val="center"/>
              <w:rPr>
                <w:rFonts w:hint="eastAsia"/>
                <w:sz w:val="20"/>
                <w:szCs w:val="20"/>
              </w:rPr>
            </w:pPr>
            <w:r>
              <w:rPr>
                <w:rFonts w:hint="eastAsia"/>
                <w:sz w:val="20"/>
                <w:szCs w:val="20"/>
              </w:rPr>
              <w:t xml:space="preserve">1</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27</w:t>
            </w:r>
            <w:r/>
          </w:p>
        </w:tc>
        <w:tc>
          <w:tcPr>
            <w:tcBorders>
              <w:top w:val="none" w:color="000000" w:sz="4" w:space="0"/>
              <w:left w:val="none" w:color="000000" w:sz="4" w:space="0"/>
              <w:bottom w:val="single" w:color="000000" w:sz="4" w:space="0"/>
              <w:right w:val="single" w:color="000000" w:sz="4" w:space="0"/>
            </w:tcBorders>
            <w:tcW w:w="1637" w:type="dxa"/>
            <w:vAlign w:val="center"/>
            <w:textDirection w:val="lrTb"/>
            <w:noWrap/>
          </w:tcPr>
          <w:p>
            <w:pPr>
              <w:rPr>
                <w:rFonts w:hint="eastAsia"/>
                <w:sz w:val="20"/>
                <w:szCs w:val="20"/>
              </w:rPr>
            </w:pPr>
            <w:r>
              <w:rPr>
                <w:rFonts w:hint="eastAsia"/>
                <w:sz w:val="20"/>
                <w:szCs w:val="20"/>
              </w:rPr>
              <w:t xml:space="preserve">异型双层工作台2</w:t>
            </w: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tcPr>
          <w:p>
            <w:pPr>
              <w:rPr>
                <w:rFonts w:hint="eastAsia"/>
                <w:sz w:val="20"/>
                <w:szCs w:val="20"/>
              </w:rPr>
            </w:pPr>
            <w:r>
              <w:rPr>
                <w:rFonts w:hint="eastAsia"/>
                <w:sz w:val="20"/>
                <w:szCs w:val="20"/>
              </w:rPr>
              <w:t xml:space="preserve">1200*700*800</w:t>
            </w:r>
            <w:r/>
          </w:p>
        </w:tc>
        <w:tc>
          <w:tcPr>
            <w:tcBorders>
              <w:top w:val="none" w:color="000000" w:sz="4" w:space="0"/>
              <w:left w:val="none" w:color="000000" w:sz="4" w:space="0"/>
              <w:bottom w:val="single" w:color="auto" w:sz="4" w:space="0"/>
              <w:right w:val="single" w:color="auto" w:sz="4" w:space="0"/>
            </w:tcBorders>
            <w:tcW w:w="3992" w:type="dxa"/>
            <w:textDirection w:val="lrTb"/>
            <w:noWrap w:val="false"/>
          </w:tcPr>
          <w:p>
            <w:pPr>
              <w:rPr>
                <w:rFonts w:hint="eastAsia"/>
                <w:sz w:val="20"/>
                <w:szCs w:val="20"/>
              </w:rPr>
            </w:pPr>
            <w:r>
              <w:rPr>
                <w:rFonts w:hint="eastAsia"/>
                <w:sz w:val="20"/>
                <w:szCs w:val="20"/>
              </w:rPr>
              <w:t xml:space="preserve">台面:采用SUS304 ≥1.5mm不锈钢板</w:t>
            </w:r>
            <w:r>
              <w:rPr>
                <w:rFonts w:hint="eastAsia"/>
                <w:sz w:val="20"/>
                <w:szCs w:val="20"/>
              </w:rPr>
              <w:br/>
              <w:t xml:space="preserve">层板：采用SUS304 ≥1.2mm不锈钢板</w:t>
            </w:r>
            <w:r>
              <w:rPr>
                <w:rFonts w:hint="eastAsia"/>
                <w:sz w:val="20"/>
                <w:szCs w:val="20"/>
              </w:rPr>
              <w:br/>
              <w:t xml:space="preserve">加强筋：采用SUS304 ≥1.2mm不锈钢板</w:t>
            </w:r>
            <w:r>
              <w:rPr>
                <w:rFonts w:hint="eastAsia"/>
                <w:sz w:val="20"/>
                <w:szCs w:val="20"/>
              </w:rPr>
              <w:br/>
              <w:t xml:space="preserve">脚架：采用SUS304 </w:t>
            </w:r>
            <w:r>
              <w:rPr>
                <w:rFonts w:ascii="Calibri" w:hAnsi="Calibri" w:cs="Calibri"/>
                <w:sz w:val="20"/>
                <w:szCs w:val="20"/>
              </w:rPr>
              <w:t xml:space="preserve">φ</w:t>
            </w:r>
            <w:r>
              <w:rPr>
                <w:rFonts w:hint="eastAsia"/>
                <w:sz w:val="20"/>
                <w:szCs w:val="20"/>
              </w:rPr>
              <w:t xml:space="preserve">38mm，厚度≥1.5mm不锈钢定形管                     </w:t>
            </w:r>
            <w:r>
              <w:rPr>
                <w:rFonts w:hint="eastAsia"/>
                <w:sz w:val="20"/>
                <w:szCs w:val="20"/>
              </w:rPr>
              <w:br/>
              <w:t xml:space="preserve">横档：采用SUS304 </w:t>
            </w:r>
            <w:r>
              <w:rPr>
                <w:rFonts w:ascii="Calibri" w:hAnsi="Calibri" w:cs="Calibri"/>
                <w:sz w:val="20"/>
                <w:szCs w:val="20"/>
              </w:rPr>
              <w:t xml:space="preserve">ф</w:t>
            </w:r>
            <w:r>
              <w:rPr>
                <w:rFonts w:hint="eastAsia"/>
                <w:sz w:val="20"/>
                <w:szCs w:val="20"/>
              </w:rPr>
              <w:t xml:space="preserve">25mm，厚度≥1.2mm不锈钢定形管</w:t>
            </w:r>
            <w:r>
              <w:rPr>
                <w:rFonts w:hint="eastAsia"/>
                <w:sz w:val="20"/>
                <w:szCs w:val="20"/>
              </w:rPr>
              <w:br/>
              <w:t xml:space="preserve">配SUS304 不锈钢调节子弹脚</w:t>
            </w:r>
            <w:r/>
          </w:p>
        </w:tc>
        <w:tc>
          <w:tcPr>
            <w:tcBorders>
              <w:top w:val="none" w:color="000000" w:sz="4" w:space="0"/>
              <w:left w:val="none" w:color="000000" w:sz="4" w:space="0"/>
              <w:bottom w:val="single" w:color="000000" w:sz="4" w:space="0"/>
              <w:right w:val="single" w:color="000000"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000000" w:sz="4" w:space="0"/>
              <w:right w:val="single" w:color="000000" w:sz="4" w:space="0"/>
            </w:tcBorders>
            <w:tcW w:w="631" w:type="dxa"/>
            <w:vAlign w:val="center"/>
            <w:textDirection w:val="lrTb"/>
            <w:noWrap/>
          </w:tcPr>
          <w:p>
            <w:pPr>
              <w:jc w:val="center"/>
              <w:rPr>
                <w:rFonts w:hint="eastAsia"/>
                <w:sz w:val="20"/>
                <w:szCs w:val="20"/>
              </w:rPr>
            </w:pPr>
            <w:r>
              <w:rPr>
                <w:rFonts w:hint="eastAsia"/>
                <w:sz w:val="20"/>
                <w:szCs w:val="20"/>
              </w:rPr>
              <w:t xml:space="preserve">7</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28</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单通工作台柜1</w:t>
            </w: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tcPr>
          <w:p>
            <w:pPr>
              <w:rPr>
                <w:rFonts w:hint="eastAsia"/>
                <w:sz w:val="20"/>
                <w:szCs w:val="20"/>
              </w:rPr>
            </w:pPr>
            <w:r>
              <w:rPr>
                <w:rFonts w:hint="eastAsia"/>
                <w:sz w:val="20"/>
                <w:szCs w:val="20"/>
              </w:rPr>
              <w:t xml:space="preserve">1800*760*800+100</w:t>
            </w:r>
            <w:r/>
          </w:p>
        </w:tc>
        <w:tc>
          <w:tcPr>
            <w:tcBorders>
              <w:top w:val="none" w:color="000000" w:sz="4" w:space="0"/>
              <w:left w:val="none" w:color="000000" w:sz="4" w:space="0"/>
              <w:bottom w:val="single" w:color="auto" w:sz="4" w:space="0"/>
              <w:right w:val="single" w:color="auto" w:sz="4" w:space="0"/>
            </w:tcBorders>
            <w:tcW w:w="3992" w:type="dxa"/>
            <w:textDirection w:val="lrTb"/>
            <w:noWrap w:val="false"/>
          </w:tcPr>
          <w:p>
            <w:pPr>
              <w:rPr>
                <w:rFonts w:hint="eastAsia"/>
                <w:sz w:val="20"/>
                <w:szCs w:val="20"/>
              </w:rPr>
            </w:pPr>
            <w:r>
              <w:rPr>
                <w:rFonts w:hint="eastAsia"/>
                <w:sz w:val="20"/>
                <w:szCs w:val="20"/>
              </w:rPr>
              <w:t xml:space="preserve">台面:采用SUS304 ≥1.5mm不锈钢板</w:t>
            </w:r>
            <w:r>
              <w:rPr>
                <w:rFonts w:hint="eastAsia"/>
                <w:sz w:val="20"/>
                <w:szCs w:val="20"/>
              </w:rPr>
              <w:br/>
              <w:t xml:space="preserve">层板：采用SUS304 ≥1.2mm不锈钢板</w:t>
            </w:r>
            <w:r>
              <w:rPr>
                <w:rFonts w:hint="eastAsia"/>
                <w:sz w:val="20"/>
                <w:szCs w:val="20"/>
              </w:rPr>
              <w:br/>
              <w:t xml:space="preserve">加强筋：采用SUS304 ≥1.2mm不锈钢板</w:t>
            </w:r>
            <w:r>
              <w:rPr>
                <w:rFonts w:hint="eastAsia"/>
                <w:sz w:val="20"/>
                <w:szCs w:val="20"/>
              </w:rPr>
              <w:br/>
              <w:t xml:space="preserve">脚架：采用SUS304 </w:t>
            </w:r>
            <w:r>
              <w:rPr>
                <w:rFonts w:ascii="Calibri" w:hAnsi="Calibri" w:cs="Calibri"/>
                <w:sz w:val="20"/>
                <w:szCs w:val="20"/>
              </w:rPr>
              <w:t xml:space="preserve">φ</w:t>
            </w:r>
            <w:r>
              <w:rPr>
                <w:rFonts w:hint="eastAsia"/>
                <w:sz w:val="20"/>
                <w:szCs w:val="20"/>
              </w:rPr>
              <w:t xml:space="preserve">38mm，厚度≥1.5mm不锈钢定形管                     </w:t>
            </w:r>
            <w:r>
              <w:rPr>
                <w:rFonts w:hint="eastAsia"/>
                <w:sz w:val="20"/>
                <w:szCs w:val="20"/>
              </w:rPr>
              <w:br/>
              <w:t xml:space="preserve">横档：采用SUS304 </w:t>
            </w:r>
            <w:r>
              <w:rPr>
                <w:rFonts w:ascii="Calibri" w:hAnsi="Calibri" w:cs="Calibri"/>
                <w:sz w:val="20"/>
                <w:szCs w:val="20"/>
              </w:rPr>
              <w:t xml:space="preserve">ф</w:t>
            </w:r>
            <w:r>
              <w:rPr>
                <w:rFonts w:hint="eastAsia"/>
                <w:sz w:val="20"/>
                <w:szCs w:val="20"/>
              </w:rPr>
              <w:t xml:space="preserve">25mm，厚度≥1.2mm不锈钢定形管</w:t>
            </w:r>
            <w:r>
              <w:rPr>
                <w:rFonts w:hint="eastAsia"/>
                <w:sz w:val="20"/>
                <w:szCs w:val="20"/>
              </w:rPr>
              <w:br/>
              <w:t xml:space="preserve">配SUS304 不锈钢调节子弹脚</w:t>
            </w:r>
            <w:r/>
          </w:p>
        </w:tc>
        <w:tc>
          <w:tcPr>
            <w:tcBorders>
              <w:top w:val="none" w:color="000000" w:sz="4" w:space="0"/>
              <w:left w:val="none" w:color="000000" w:sz="4" w:space="0"/>
              <w:bottom w:val="single" w:color="000000" w:sz="4" w:space="0"/>
              <w:right w:val="single" w:color="000000"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000000" w:sz="4" w:space="0"/>
              <w:right w:val="single" w:color="000000" w:sz="4" w:space="0"/>
            </w:tcBorders>
            <w:tcW w:w="631" w:type="dxa"/>
            <w:vAlign w:val="center"/>
            <w:textDirection w:val="lrTb"/>
            <w:noWrap/>
          </w:tcPr>
          <w:p>
            <w:pPr>
              <w:jc w:val="center"/>
              <w:rPr>
                <w:rFonts w:hint="eastAsia"/>
                <w:sz w:val="20"/>
                <w:szCs w:val="20"/>
              </w:rPr>
            </w:pPr>
            <w:r>
              <w:rPr>
                <w:rFonts w:hint="eastAsia"/>
                <w:sz w:val="20"/>
                <w:szCs w:val="20"/>
              </w:rPr>
              <w:t xml:space="preserve">27</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29</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单通工作台柜2</w:t>
            </w: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tcPr>
          <w:p>
            <w:pPr>
              <w:rPr>
                <w:rFonts w:hint="eastAsia"/>
                <w:sz w:val="20"/>
                <w:szCs w:val="20"/>
              </w:rPr>
            </w:pPr>
            <w:r>
              <w:rPr>
                <w:rFonts w:hint="eastAsia"/>
                <w:sz w:val="20"/>
                <w:szCs w:val="20"/>
              </w:rPr>
              <w:t xml:space="preserve">1800*700*800</w:t>
            </w:r>
            <w:r/>
          </w:p>
        </w:tc>
        <w:tc>
          <w:tcPr>
            <w:tcBorders>
              <w:top w:val="none" w:color="000000" w:sz="4" w:space="0"/>
              <w:left w:val="none" w:color="000000" w:sz="4" w:space="0"/>
              <w:bottom w:val="single" w:color="auto" w:sz="4" w:space="0"/>
              <w:right w:val="single" w:color="auto" w:sz="4" w:space="0"/>
            </w:tcBorders>
            <w:tcW w:w="3992" w:type="dxa"/>
            <w:textDirection w:val="lrTb"/>
            <w:noWrap w:val="false"/>
          </w:tcPr>
          <w:p>
            <w:pPr>
              <w:rPr>
                <w:rFonts w:hint="eastAsia"/>
                <w:sz w:val="20"/>
                <w:szCs w:val="20"/>
              </w:rPr>
            </w:pPr>
            <w:r>
              <w:rPr>
                <w:rFonts w:hint="eastAsia"/>
                <w:sz w:val="20"/>
                <w:szCs w:val="20"/>
              </w:rPr>
              <w:t xml:space="preserve">台面:采用SUS304 ≥1.5mm不锈钢板</w:t>
            </w:r>
            <w:r>
              <w:rPr>
                <w:rFonts w:hint="eastAsia"/>
                <w:sz w:val="20"/>
                <w:szCs w:val="20"/>
              </w:rPr>
              <w:br/>
              <w:t xml:space="preserve">层板：采用SUS304 ≥1.2mm不锈钢板</w:t>
            </w:r>
            <w:r>
              <w:rPr>
                <w:rFonts w:hint="eastAsia"/>
                <w:sz w:val="20"/>
                <w:szCs w:val="20"/>
              </w:rPr>
              <w:br/>
            </w:r>
            <w:r>
              <w:rPr>
                <w:rFonts w:hint="eastAsia"/>
                <w:sz w:val="20"/>
                <w:szCs w:val="20"/>
              </w:rPr>
              <w:t xml:space="preserve">加强筋：采用SUS304 ≥1.2mm不锈钢板</w:t>
            </w:r>
            <w:r>
              <w:rPr>
                <w:rFonts w:hint="eastAsia"/>
                <w:sz w:val="20"/>
                <w:szCs w:val="20"/>
              </w:rPr>
              <w:br/>
              <w:t xml:space="preserve">脚架：采用SUS304 </w:t>
            </w:r>
            <w:r>
              <w:rPr>
                <w:rFonts w:ascii="Calibri" w:hAnsi="Calibri" w:cs="Calibri"/>
                <w:sz w:val="20"/>
                <w:szCs w:val="20"/>
              </w:rPr>
              <w:t xml:space="preserve">φ</w:t>
            </w:r>
            <w:r>
              <w:rPr>
                <w:rFonts w:hint="eastAsia"/>
                <w:sz w:val="20"/>
                <w:szCs w:val="20"/>
              </w:rPr>
              <w:t xml:space="preserve">38mm，厚度≥1.5mm不锈钢定形管                     </w:t>
            </w:r>
            <w:r>
              <w:rPr>
                <w:rFonts w:hint="eastAsia"/>
                <w:sz w:val="20"/>
                <w:szCs w:val="20"/>
              </w:rPr>
              <w:br/>
              <w:t xml:space="preserve">横档：采用SUS304 </w:t>
            </w:r>
            <w:r>
              <w:rPr>
                <w:rFonts w:ascii="Calibri" w:hAnsi="Calibri" w:cs="Calibri"/>
                <w:sz w:val="20"/>
                <w:szCs w:val="20"/>
              </w:rPr>
              <w:t xml:space="preserve">ф</w:t>
            </w:r>
            <w:r>
              <w:rPr>
                <w:rFonts w:hint="eastAsia"/>
                <w:sz w:val="20"/>
                <w:szCs w:val="20"/>
              </w:rPr>
              <w:t xml:space="preserve">25mm，厚度≥1.2mm不锈钢定形管</w:t>
            </w:r>
            <w:r>
              <w:rPr>
                <w:rFonts w:hint="eastAsia"/>
                <w:sz w:val="20"/>
                <w:szCs w:val="20"/>
              </w:rPr>
              <w:br/>
              <w:t xml:space="preserve">配SUS304 不锈钢调节子弹脚</w:t>
            </w:r>
            <w:r/>
          </w:p>
        </w:tc>
        <w:tc>
          <w:tcPr>
            <w:tcBorders>
              <w:top w:val="none" w:color="000000" w:sz="4" w:space="0"/>
              <w:left w:val="none" w:color="000000" w:sz="4" w:space="0"/>
              <w:bottom w:val="single" w:color="000000" w:sz="4" w:space="0"/>
              <w:right w:val="single" w:color="000000"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000000" w:sz="4" w:space="0"/>
              <w:right w:val="single" w:color="000000" w:sz="4" w:space="0"/>
            </w:tcBorders>
            <w:tcW w:w="631" w:type="dxa"/>
            <w:vAlign w:val="center"/>
            <w:textDirection w:val="lrTb"/>
            <w:noWrap/>
          </w:tcPr>
          <w:p>
            <w:pPr>
              <w:jc w:val="center"/>
              <w:rPr>
                <w:rFonts w:hint="eastAsia"/>
                <w:sz w:val="20"/>
                <w:szCs w:val="20"/>
              </w:rPr>
            </w:pPr>
            <w:r>
              <w:rPr>
                <w:rFonts w:hint="eastAsia"/>
                <w:sz w:val="20"/>
                <w:szCs w:val="20"/>
              </w:rPr>
              <w:t xml:space="preserve">1</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30</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单通工作台柜3</w:t>
            </w: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tcPr>
          <w:p>
            <w:pPr>
              <w:rPr>
                <w:rFonts w:hint="eastAsia"/>
                <w:sz w:val="20"/>
                <w:szCs w:val="20"/>
              </w:rPr>
            </w:pPr>
            <w:r>
              <w:rPr>
                <w:rFonts w:hint="eastAsia"/>
                <w:sz w:val="20"/>
                <w:szCs w:val="20"/>
              </w:rPr>
              <w:t xml:space="preserve">1500*760*800</w:t>
            </w:r>
            <w:r/>
          </w:p>
        </w:tc>
        <w:tc>
          <w:tcPr>
            <w:tcBorders>
              <w:top w:val="none" w:color="000000" w:sz="4" w:space="0"/>
              <w:left w:val="none" w:color="000000" w:sz="4" w:space="0"/>
              <w:bottom w:val="single" w:color="auto" w:sz="4" w:space="0"/>
              <w:right w:val="single" w:color="auto" w:sz="4" w:space="0"/>
            </w:tcBorders>
            <w:tcW w:w="3992" w:type="dxa"/>
            <w:textDirection w:val="lrTb"/>
            <w:noWrap w:val="false"/>
          </w:tcPr>
          <w:p>
            <w:pPr>
              <w:rPr>
                <w:rFonts w:hint="eastAsia"/>
                <w:sz w:val="20"/>
                <w:szCs w:val="20"/>
              </w:rPr>
            </w:pPr>
            <w:r>
              <w:rPr>
                <w:rFonts w:hint="eastAsia"/>
                <w:sz w:val="20"/>
                <w:szCs w:val="20"/>
              </w:rPr>
              <w:t xml:space="preserve">台面:采用SUS304 ≥1.5mm不锈钢板</w:t>
            </w:r>
            <w:r>
              <w:rPr>
                <w:rFonts w:hint="eastAsia"/>
                <w:sz w:val="20"/>
                <w:szCs w:val="20"/>
              </w:rPr>
              <w:br/>
              <w:t xml:space="preserve">层板：采用SUS304 ≥1.2mm不锈钢板</w:t>
            </w:r>
            <w:r>
              <w:rPr>
                <w:rFonts w:hint="eastAsia"/>
                <w:sz w:val="20"/>
                <w:szCs w:val="20"/>
              </w:rPr>
              <w:br/>
              <w:t xml:space="preserve">加强筋：采用SUS304 ≥1.2mm不锈钢板</w:t>
            </w:r>
            <w:r>
              <w:rPr>
                <w:rFonts w:hint="eastAsia"/>
                <w:sz w:val="20"/>
                <w:szCs w:val="20"/>
              </w:rPr>
              <w:br/>
              <w:t xml:space="preserve">脚架：采用SUS304 </w:t>
            </w:r>
            <w:r>
              <w:rPr>
                <w:rFonts w:ascii="Calibri" w:hAnsi="Calibri" w:cs="Calibri"/>
                <w:sz w:val="20"/>
                <w:szCs w:val="20"/>
              </w:rPr>
              <w:t xml:space="preserve">φ</w:t>
            </w:r>
            <w:r>
              <w:rPr>
                <w:rFonts w:hint="eastAsia"/>
                <w:sz w:val="20"/>
                <w:szCs w:val="20"/>
              </w:rPr>
              <w:t xml:space="preserve">38mm，厚度≥1.5mm不锈钢定形管                     </w:t>
            </w:r>
            <w:r>
              <w:rPr>
                <w:rFonts w:hint="eastAsia"/>
                <w:sz w:val="20"/>
                <w:szCs w:val="20"/>
              </w:rPr>
              <w:br/>
              <w:t xml:space="preserve">横档：采用SUS304 </w:t>
            </w:r>
            <w:r>
              <w:rPr>
                <w:rFonts w:ascii="Calibri" w:hAnsi="Calibri" w:cs="Calibri"/>
                <w:sz w:val="20"/>
                <w:szCs w:val="20"/>
              </w:rPr>
              <w:t xml:space="preserve">ф</w:t>
            </w:r>
            <w:r>
              <w:rPr>
                <w:rFonts w:hint="eastAsia"/>
                <w:sz w:val="20"/>
                <w:szCs w:val="20"/>
              </w:rPr>
              <w:t xml:space="preserve">25mm，厚度≥1.2mm不锈钢定形管</w:t>
            </w:r>
            <w:r>
              <w:rPr>
                <w:rFonts w:hint="eastAsia"/>
                <w:sz w:val="20"/>
                <w:szCs w:val="20"/>
              </w:rPr>
              <w:br/>
              <w:t xml:space="preserve">配SUS304 不锈钢调节子弹脚</w:t>
            </w:r>
            <w:r/>
          </w:p>
        </w:tc>
        <w:tc>
          <w:tcPr>
            <w:tcBorders>
              <w:top w:val="none" w:color="000000" w:sz="4" w:space="0"/>
              <w:left w:val="none" w:color="000000" w:sz="4" w:space="0"/>
              <w:bottom w:val="single" w:color="000000" w:sz="4" w:space="0"/>
              <w:right w:val="single" w:color="000000"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000000" w:sz="4" w:space="0"/>
              <w:right w:val="single" w:color="000000" w:sz="4" w:space="0"/>
            </w:tcBorders>
            <w:tcW w:w="631" w:type="dxa"/>
            <w:vAlign w:val="center"/>
            <w:textDirection w:val="lrTb"/>
            <w:noWrap/>
          </w:tcPr>
          <w:p>
            <w:pPr>
              <w:jc w:val="center"/>
              <w:rPr>
                <w:rFonts w:hint="eastAsia"/>
                <w:sz w:val="20"/>
                <w:szCs w:val="20"/>
              </w:rPr>
            </w:pPr>
            <w:r>
              <w:rPr>
                <w:rFonts w:hint="eastAsia"/>
                <w:sz w:val="20"/>
                <w:szCs w:val="20"/>
              </w:rPr>
              <w:t xml:space="preserve">6</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31</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单通工作台柜4</w:t>
            </w: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tcPr>
          <w:p>
            <w:pPr>
              <w:rPr>
                <w:rFonts w:hint="eastAsia"/>
                <w:sz w:val="20"/>
                <w:szCs w:val="20"/>
              </w:rPr>
            </w:pPr>
            <w:r>
              <w:rPr>
                <w:rFonts w:hint="eastAsia"/>
                <w:sz w:val="20"/>
                <w:szCs w:val="20"/>
              </w:rPr>
              <w:t xml:space="preserve">1200*760*800+100</w:t>
            </w:r>
            <w:r/>
          </w:p>
        </w:tc>
        <w:tc>
          <w:tcPr>
            <w:tcBorders>
              <w:top w:val="none" w:color="000000" w:sz="4" w:space="0"/>
              <w:left w:val="none" w:color="000000" w:sz="4" w:space="0"/>
              <w:bottom w:val="single" w:color="auto" w:sz="4" w:space="0"/>
              <w:right w:val="single" w:color="auto" w:sz="4" w:space="0"/>
            </w:tcBorders>
            <w:tcW w:w="3992" w:type="dxa"/>
            <w:textDirection w:val="lrTb"/>
            <w:noWrap w:val="false"/>
          </w:tcPr>
          <w:p>
            <w:pPr>
              <w:rPr>
                <w:rFonts w:hint="eastAsia"/>
                <w:sz w:val="20"/>
                <w:szCs w:val="20"/>
              </w:rPr>
            </w:pPr>
            <w:r>
              <w:rPr>
                <w:rFonts w:hint="eastAsia"/>
                <w:sz w:val="20"/>
                <w:szCs w:val="20"/>
              </w:rPr>
              <w:t xml:space="preserve">台面:采用SUS304 ≥1.5mm不锈钢板</w:t>
            </w:r>
            <w:r>
              <w:rPr>
                <w:rFonts w:hint="eastAsia"/>
                <w:sz w:val="20"/>
                <w:szCs w:val="20"/>
              </w:rPr>
              <w:br/>
              <w:t xml:space="preserve">层板：采用SUS304 ≥1.2mm不锈钢板</w:t>
            </w:r>
            <w:r>
              <w:rPr>
                <w:rFonts w:hint="eastAsia"/>
                <w:sz w:val="20"/>
                <w:szCs w:val="20"/>
              </w:rPr>
              <w:br/>
              <w:t xml:space="preserve">加强筋：采用SUS304 ≥1.2mm不锈钢板</w:t>
            </w:r>
            <w:r>
              <w:rPr>
                <w:rFonts w:hint="eastAsia"/>
                <w:sz w:val="20"/>
                <w:szCs w:val="20"/>
              </w:rPr>
              <w:br/>
              <w:t xml:space="preserve">脚架：采用SUS304 </w:t>
            </w:r>
            <w:r>
              <w:rPr>
                <w:rFonts w:ascii="Calibri" w:hAnsi="Calibri" w:cs="Calibri"/>
                <w:sz w:val="20"/>
                <w:szCs w:val="20"/>
              </w:rPr>
              <w:t xml:space="preserve">φ</w:t>
            </w:r>
            <w:r>
              <w:rPr>
                <w:rFonts w:hint="eastAsia"/>
                <w:sz w:val="20"/>
                <w:szCs w:val="20"/>
              </w:rPr>
              <w:t xml:space="preserve">38mm，厚度≥1.5mm不锈钢定形管                     </w:t>
            </w:r>
            <w:r>
              <w:rPr>
                <w:rFonts w:hint="eastAsia"/>
                <w:sz w:val="20"/>
                <w:szCs w:val="20"/>
              </w:rPr>
              <w:br/>
              <w:t xml:space="preserve">横档：采用SUS304 </w:t>
            </w:r>
            <w:r>
              <w:rPr>
                <w:rFonts w:ascii="Calibri" w:hAnsi="Calibri" w:cs="Calibri"/>
                <w:sz w:val="20"/>
                <w:szCs w:val="20"/>
              </w:rPr>
              <w:t xml:space="preserve">ф</w:t>
            </w:r>
            <w:r>
              <w:rPr>
                <w:rFonts w:hint="eastAsia"/>
                <w:sz w:val="20"/>
                <w:szCs w:val="20"/>
              </w:rPr>
              <w:t xml:space="preserve">25mm，厚度≥1.2mm不锈钢定形管</w:t>
            </w:r>
            <w:r>
              <w:rPr>
                <w:rFonts w:hint="eastAsia"/>
                <w:sz w:val="20"/>
                <w:szCs w:val="20"/>
              </w:rPr>
              <w:br/>
              <w:t xml:space="preserve">配SUS304 不锈钢调节子弹脚</w:t>
            </w:r>
            <w:r/>
          </w:p>
        </w:tc>
        <w:tc>
          <w:tcPr>
            <w:tcBorders>
              <w:top w:val="none" w:color="000000" w:sz="4" w:space="0"/>
              <w:left w:val="none" w:color="000000" w:sz="4" w:space="0"/>
              <w:bottom w:val="single" w:color="000000" w:sz="4" w:space="0"/>
              <w:right w:val="single" w:color="000000"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000000" w:sz="4" w:space="0"/>
              <w:right w:val="single" w:color="000000" w:sz="4" w:space="0"/>
            </w:tcBorders>
            <w:tcW w:w="631" w:type="dxa"/>
            <w:vAlign w:val="center"/>
            <w:textDirection w:val="lrTb"/>
            <w:noWrap/>
          </w:tcPr>
          <w:p>
            <w:pPr>
              <w:jc w:val="center"/>
              <w:rPr>
                <w:rFonts w:hint="eastAsia"/>
                <w:sz w:val="20"/>
                <w:szCs w:val="20"/>
              </w:rPr>
            </w:pPr>
            <w:r>
              <w:rPr>
                <w:rFonts w:hint="eastAsia"/>
                <w:sz w:val="20"/>
                <w:szCs w:val="20"/>
              </w:rPr>
              <w:t xml:space="preserve">2</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32</w:t>
            </w:r>
            <w:r/>
          </w:p>
        </w:tc>
        <w:tc>
          <w:tcPr>
            <w:tcBorders>
              <w:top w:val="none" w:color="000000" w:sz="4" w:space="0"/>
              <w:left w:val="none" w:color="000000" w:sz="4" w:space="0"/>
              <w:bottom w:val="single" w:color="000000" w:sz="4" w:space="0"/>
              <w:right w:val="single" w:color="000000" w:sz="4" w:space="0"/>
            </w:tcBorders>
            <w:tcW w:w="1637" w:type="dxa"/>
            <w:vAlign w:val="center"/>
            <w:textDirection w:val="lrTb"/>
            <w:noWrap/>
          </w:tcPr>
          <w:p>
            <w:pPr>
              <w:rPr>
                <w:rFonts w:hint="eastAsia"/>
                <w:sz w:val="20"/>
                <w:szCs w:val="20"/>
              </w:rPr>
            </w:pPr>
            <w:r>
              <w:rPr>
                <w:rFonts w:hint="eastAsia"/>
                <w:sz w:val="20"/>
                <w:szCs w:val="20"/>
              </w:rPr>
              <w:t xml:space="preserve">单通工作台柜5</w:t>
            </w: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tcPr>
          <w:p>
            <w:pPr>
              <w:rPr>
                <w:rFonts w:hint="eastAsia"/>
                <w:sz w:val="20"/>
                <w:szCs w:val="20"/>
              </w:rPr>
            </w:pPr>
            <w:r>
              <w:rPr>
                <w:rFonts w:hint="eastAsia"/>
                <w:sz w:val="20"/>
                <w:szCs w:val="20"/>
              </w:rPr>
              <w:t xml:space="preserve">1500*760*800+100</w:t>
            </w:r>
            <w:r/>
          </w:p>
        </w:tc>
        <w:tc>
          <w:tcPr>
            <w:tcBorders>
              <w:top w:val="none" w:color="000000" w:sz="4" w:space="0"/>
              <w:left w:val="none" w:color="000000" w:sz="4" w:space="0"/>
              <w:bottom w:val="single" w:color="auto" w:sz="4" w:space="0"/>
              <w:right w:val="single" w:color="auto" w:sz="4" w:space="0"/>
            </w:tcBorders>
            <w:tcW w:w="3992" w:type="dxa"/>
            <w:textDirection w:val="lrTb"/>
            <w:noWrap w:val="false"/>
          </w:tcPr>
          <w:p>
            <w:pPr>
              <w:rPr>
                <w:rFonts w:hint="eastAsia"/>
                <w:sz w:val="20"/>
                <w:szCs w:val="20"/>
              </w:rPr>
            </w:pPr>
            <w:r>
              <w:rPr>
                <w:rFonts w:hint="eastAsia"/>
                <w:sz w:val="20"/>
                <w:szCs w:val="20"/>
              </w:rPr>
              <w:t xml:space="preserve">台面:采用SUS304 ≥1.5mm不锈钢板</w:t>
            </w:r>
            <w:r>
              <w:rPr>
                <w:rFonts w:hint="eastAsia"/>
                <w:sz w:val="20"/>
                <w:szCs w:val="20"/>
              </w:rPr>
              <w:br/>
              <w:t xml:space="preserve">层板：采用SUS304 ≥1.2mm不锈钢板</w:t>
            </w:r>
            <w:r>
              <w:rPr>
                <w:rFonts w:hint="eastAsia"/>
                <w:sz w:val="20"/>
                <w:szCs w:val="20"/>
              </w:rPr>
              <w:br/>
              <w:t xml:space="preserve">加强筋：采用SUS304 ≥1.2mm不锈钢板</w:t>
            </w:r>
            <w:r>
              <w:rPr>
                <w:rFonts w:hint="eastAsia"/>
                <w:sz w:val="20"/>
                <w:szCs w:val="20"/>
              </w:rPr>
              <w:br/>
              <w:t xml:space="preserve">脚架：采用SUS304 </w:t>
            </w:r>
            <w:r>
              <w:rPr>
                <w:rFonts w:ascii="Calibri" w:hAnsi="Calibri" w:cs="Calibri"/>
                <w:sz w:val="20"/>
                <w:szCs w:val="20"/>
              </w:rPr>
              <w:t xml:space="preserve">φ</w:t>
            </w:r>
            <w:r>
              <w:rPr>
                <w:rFonts w:hint="eastAsia"/>
                <w:sz w:val="20"/>
                <w:szCs w:val="20"/>
              </w:rPr>
              <w:t xml:space="preserve">38mm，厚度≥1.5mm不锈钢定形管                     </w:t>
            </w:r>
            <w:r>
              <w:rPr>
                <w:rFonts w:hint="eastAsia"/>
                <w:sz w:val="20"/>
                <w:szCs w:val="20"/>
              </w:rPr>
              <w:br/>
              <w:t xml:space="preserve">横档：采用SUS304 </w:t>
            </w:r>
            <w:r>
              <w:rPr>
                <w:rFonts w:ascii="Calibri" w:hAnsi="Calibri" w:cs="Calibri"/>
                <w:sz w:val="20"/>
                <w:szCs w:val="20"/>
              </w:rPr>
              <w:t xml:space="preserve">ф</w:t>
            </w:r>
            <w:r>
              <w:rPr>
                <w:rFonts w:hint="eastAsia"/>
                <w:sz w:val="20"/>
                <w:szCs w:val="20"/>
              </w:rPr>
              <w:t xml:space="preserve">25mm，厚度≥1.2mm不锈钢定形管</w:t>
            </w:r>
            <w:r>
              <w:rPr>
                <w:rFonts w:hint="eastAsia"/>
                <w:sz w:val="20"/>
                <w:szCs w:val="20"/>
              </w:rPr>
              <w:br/>
              <w:t xml:space="preserve">配SUS304 不锈钢调节子弹脚</w:t>
            </w:r>
            <w:r/>
          </w:p>
        </w:tc>
        <w:tc>
          <w:tcPr>
            <w:tcBorders>
              <w:top w:val="none" w:color="000000" w:sz="4" w:space="0"/>
              <w:left w:val="none" w:color="000000" w:sz="4" w:space="0"/>
              <w:bottom w:val="single" w:color="000000" w:sz="4" w:space="0"/>
              <w:right w:val="single" w:color="000000"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000000" w:sz="4" w:space="0"/>
              <w:right w:val="single" w:color="000000" w:sz="4" w:space="0"/>
            </w:tcBorders>
            <w:tcW w:w="631" w:type="dxa"/>
            <w:vAlign w:val="center"/>
            <w:textDirection w:val="lrTb"/>
            <w:noWrap/>
          </w:tcPr>
          <w:p>
            <w:pPr>
              <w:jc w:val="center"/>
              <w:rPr>
                <w:rFonts w:hint="eastAsia"/>
                <w:sz w:val="20"/>
                <w:szCs w:val="20"/>
              </w:rPr>
            </w:pPr>
            <w:r>
              <w:rPr>
                <w:rFonts w:hint="eastAsia"/>
                <w:sz w:val="20"/>
                <w:szCs w:val="20"/>
              </w:rPr>
              <w:t xml:space="preserve">6</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33</w:t>
            </w:r>
            <w:r/>
          </w:p>
        </w:tc>
        <w:tc>
          <w:tcPr>
            <w:tcBorders>
              <w:top w:val="none" w:color="000000" w:sz="4" w:space="0"/>
              <w:left w:val="none" w:color="000000" w:sz="4" w:space="0"/>
              <w:bottom w:val="single" w:color="000000" w:sz="4" w:space="0"/>
              <w:right w:val="single" w:color="000000" w:sz="4" w:space="0"/>
            </w:tcBorders>
            <w:tcW w:w="1637" w:type="dxa"/>
            <w:vAlign w:val="center"/>
            <w:textDirection w:val="lrTb"/>
            <w:noWrap/>
          </w:tcPr>
          <w:p>
            <w:pPr>
              <w:rPr>
                <w:rFonts w:hint="eastAsia"/>
                <w:sz w:val="20"/>
                <w:szCs w:val="20"/>
              </w:rPr>
            </w:pPr>
            <w:r>
              <w:rPr>
                <w:rFonts w:hint="eastAsia"/>
                <w:sz w:val="20"/>
                <w:szCs w:val="20"/>
              </w:rPr>
              <w:t xml:space="preserve">单通工作台柜6</w:t>
            </w: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tcPr>
          <w:p>
            <w:pPr>
              <w:rPr>
                <w:rFonts w:hint="eastAsia"/>
                <w:sz w:val="20"/>
                <w:szCs w:val="20"/>
              </w:rPr>
            </w:pPr>
            <w:r>
              <w:rPr>
                <w:rFonts w:hint="eastAsia"/>
                <w:sz w:val="20"/>
                <w:szCs w:val="20"/>
              </w:rPr>
              <w:t xml:space="preserve">1200*700*800</w:t>
            </w:r>
            <w:r/>
          </w:p>
        </w:tc>
        <w:tc>
          <w:tcPr>
            <w:tcBorders>
              <w:top w:val="none" w:color="000000" w:sz="4" w:space="0"/>
              <w:left w:val="none" w:color="000000" w:sz="4" w:space="0"/>
              <w:bottom w:val="single" w:color="auto" w:sz="4" w:space="0"/>
              <w:right w:val="single" w:color="auto" w:sz="4" w:space="0"/>
            </w:tcBorders>
            <w:tcW w:w="3992" w:type="dxa"/>
            <w:textDirection w:val="lrTb"/>
            <w:noWrap w:val="false"/>
          </w:tcPr>
          <w:p>
            <w:pPr>
              <w:rPr>
                <w:rFonts w:hint="eastAsia"/>
                <w:sz w:val="20"/>
                <w:szCs w:val="20"/>
              </w:rPr>
            </w:pPr>
            <w:r>
              <w:rPr>
                <w:rFonts w:hint="eastAsia"/>
                <w:sz w:val="20"/>
                <w:szCs w:val="20"/>
              </w:rPr>
              <w:t xml:space="preserve">台面:采用SUS304 ≥1.5mm不锈钢板</w:t>
            </w:r>
            <w:r>
              <w:rPr>
                <w:rFonts w:hint="eastAsia"/>
                <w:sz w:val="20"/>
                <w:szCs w:val="20"/>
              </w:rPr>
              <w:br/>
              <w:t xml:space="preserve">层板：采用SUS304 ≥1.2mm不锈钢板</w:t>
            </w:r>
            <w:r>
              <w:rPr>
                <w:rFonts w:hint="eastAsia"/>
                <w:sz w:val="20"/>
                <w:szCs w:val="20"/>
              </w:rPr>
              <w:br/>
              <w:t xml:space="preserve">加强筋：采用SUS304 ≥1.2mm不锈钢板</w:t>
            </w:r>
            <w:r>
              <w:rPr>
                <w:rFonts w:hint="eastAsia"/>
                <w:sz w:val="20"/>
                <w:szCs w:val="20"/>
              </w:rPr>
              <w:br/>
              <w:t xml:space="preserve">脚架：采用SUS304 </w:t>
            </w:r>
            <w:r>
              <w:rPr>
                <w:rFonts w:ascii="Calibri" w:hAnsi="Calibri" w:cs="Calibri"/>
                <w:sz w:val="20"/>
                <w:szCs w:val="20"/>
              </w:rPr>
              <w:t xml:space="preserve">φ</w:t>
            </w:r>
            <w:r>
              <w:rPr>
                <w:rFonts w:hint="eastAsia"/>
                <w:sz w:val="20"/>
                <w:szCs w:val="20"/>
              </w:rPr>
              <w:t xml:space="preserve">38mm，厚度≥1.5mm不锈钢定形管                     </w:t>
            </w:r>
            <w:r>
              <w:rPr>
                <w:rFonts w:hint="eastAsia"/>
                <w:sz w:val="20"/>
                <w:szCs w:val="20"/>
              </w:rPr>
              <w:br/>
              <w:t xml:space="preserve">横档：采用SUS304 </w:t>
            </w:r>
            <w:r>
              <w:rPr>
                <w:rFonts w:ascii="Calibri" w:hAnsi="Calibri" w:cs="Calibri"/>
                <w:sz w:val="20"/>
                <w:szCs w:val="20"/>
              </w:rPr>
              <w:t xml:space="preserve">ф</w:t>
            </w:r>
            <w:r>
              <w:rPr>
                <w:rFonts w:hint="eastAsia"/>
                <w:sz w:val="20"/>
                <w:szCs w:val="20"/>
              </w:rPr>
              <w:t xml:space="preserve">25mm，厚度≥1.2mm</w:t>
            </w:r>
            <w:r>
              <w:rPr>
                <w:rFonts w:hint="eastAsia"/>
                <w:sz w:val="20"/>
                <w:szCs w:val="20"/>
              </w:rPr>
              <w:t xml:space="preserve">不锈钢定形管</w:t>
            </w:r>
            <w:r>
              <w:rPr>
                <w:rFonts w:hint="eastAsia"/>
                <w:sz w:val="20"/>
                <w:szCs w:val="20"/>
              </w:rPr>
              <w:br/>
              <w:t xml:space="preserve">配SUS304 不锈钢调节子弹脚</w:t>
            </w:r>
            <w:r/>
          </w:p>
        </w:tc>
        <w:tc>
          <w:tcPr>
            <w:tcBorders>
              <w:top w:val="none" w:color="000000" w:sz="4" w:space="0"/>
              <w:left w:val="none" w:color="000000" w:sz="4" w:space="0"/>
              <w:bottom w:val="single" w:color="000000" w:sz="4" w:space="0"/>
              <w:right w:val="single" w:color="000000"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000000" w:sz="4" w:space="0"/>
              <w:right w:val="single" w:color="000000" w:sz="4" w:space="0"/>
            </w:tcBorders>
            <w:tcW w:w="631" w:type="dxa"/>
            <w:vAlign w:val="center"/>
            <w:textDirection w:val="lrTb"/>
            <w:noWrap/>
          </w:tcPr>
          <w:p>
            <w:pPr>
              <w:jc w:val="center"/>
              <w:rPr>
                <w:rFonts w:hint="eastAsia"/>
                <w:sz w:val="20"/>
                <w:szCs w:val="20"/>
              </w:rPr>
            </w:pPr>
            <w:r>
              <w:rPr>
                <w:rFonts w:hint="eastAsia"/>
                <w:sz w:val="20"/>
                <w:szCs w:val="20"/>
              </w:rPr>
              <w:t xml:space="preserve">1</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34</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木案工作台</w:t>
            </w: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tcPr>
          <w:p>
            <w:pPr>
              <w:rPr>
                <w:rFonts w:hint="eastAsia"/>
                <w:sz w:val="20"/>
                <w:szCs w:val="20"/>
              </w:rPr>
            </w:pPr>
            <w:r>
              <w:rPr>
                <w:rFonts w:hint="eastAsia"/>
                <w:sz w:val="20"/>
                <w:szCs w:val="20"/>
              </w:rPr>
              <w:t xml:space="preserve">1800*800*800</w:t>
            </w:r>
            <w:r/>
          </w:p>
        </w:tc>
        <w:tc>
          <w:tcPr>
            <w:tcBorders>
              <w:top w:val="none" w:color="000000" w:sz="4" w:space="0"/>
              <w:left w:val="none" w:color="000000" w:sz="4" w:space="0"/>
              <w:bottom w:val="single" w:color="auto" w:sz="4" w:space="0"/>
              <w:right w:val="single" w:color="auto" w:sz="4" w:space="0"/>
            </w:tcBorders>
            <w:tcW w:w="3992" w:type="dxa"/>
            <w:textDirection w:val="lrTb"/>
            <w:noWrap w:val="false"/>
          </w:tcPr>
          <w:p>
            <w:pPr>
              <w:rPr>
                <w:rFonts w:hint="eastAsia"/>
                <w:sz w:val="20"/>
                <w:szCs w:val="20"/>
              </w:rPr>
            </w:pPr>
            <w:r>
              <w:rPr>
                <w:rFonts w:hint="eastAsia"/>
                <w:sz w:val="20"/>
                <w:szCs w:val="20"/>
              </w:rPr>
              <w:t xml:space="preserve">台面:采用SUS304 ≥1.5mm不锈钢板</w:t>
            </w:r>
            <w:r>
              <w:rPr>
                <w:rFonts w:hint="eastAsia"/>
                <w:sz w:val="20"/>
                <w:szCs w:val="20"/>
              </w:rPr>
              <w:br/>
              <w:t xml:space="preserve">层板：采用SUS304 ≥1.2mm不锈钢板</w:t>
            </w:r>
            <w:r>
              <w:rPr>
                <w:rFonts w:hint="eastAsia"/>
                <w:sz w:val="20"/>
                <w:szCs w:val="20"/>
              </w:rPr>
              <w:br/>
              <w:t xml:space="preserve">加强筋：采用SUS304 ≥1.2mm不锈钢板</w:t>
            </w:r>
            <w:r>
              <w:rPr>
                <w:rFonts w:hint="eastAsia"/>
                <w:sz w:val="20"/>
                <w:szCs w:val="20"/>
              </w:rPr>
              <w:br/>
              <w:t xml:space="preserve">脚架：采用SUS304 </w:t>
            </w:r>
            <w:r>
              <w:rPr>
                <w:rFonts w:ascii="Calibri" w:hAnsi="Calibri" w:cs="Calibri"/>
                <w:sz w:val="20"/>
                <w:szCs w:val="20"/>
              </w:rPr>
              <w:t xml:space="preserve">φ</w:t>
            </w:r>
            <w:r>
              <w:rPr>
                <w:rFonts w:hint="eastAsia"/>
                <w:sz w:val="20"/>
                <w:szCs w:val="20"/>
              </w:rPr>
              <w:t xml:space="preserve">38mm，厚度≥1.5mm不锈钢定形管                     </w:t>
            </w:r>
            <w:r>
              <w:rPr>
                <w:rFonts w:hint="eastAsia"/>
                <w:sz w:val="20"/>
                <w:szCs w:val="20"/>
              </w:rPr>
              <w:br/>
              <w:t xml:space="preserve">横档：采用SUS304 </w:t>
            </w:r>
            <w:r>
              <w:rPr>
                <w:rFonts w:ascii="Calibri" w:hAnsi="Calibri" w:cs="Calibri"/>
                <w:sz w:val="20"/>
                <w:szCs w:val="20"/>
              </w:rPr>
              <w:t xml:space="preserve">ф</w:t>
            </w:r>
            <w:r>
              <w:rPr>
                <w:rFonts w:hint="eastAsia"/>
                <w:sz w:val="20"/>
                <w:szCs w:val="20"/>
              </w:rPr>
              <w:t xml:space="preserve">25mm，厚度≥1.2mm不锈钢定形管</w:t>
            </w:r>
            <w:r>
              <w:rPr>
                <w:rFonts w:hint="eastAsia"/>
                <w:sz w:val="20"/>
                <w:szCs w:val="20"/>
              </w:rPr>
              <w:br/>
              <w:t xml:space="preserve">配SUS304 不锈钢调节子弹脚</w:t>
            </w:r>
            <w:r/>
          </w:p>
        </w:tc>
        <w:tc>
          <w:tcPr>
            <w:tcBorders>
              <w:top w:val="none" w:color="000000" w:sz="4" w:space="0"/>
              <w:left w:val="none" w:color="000000" w:sz="4" w:space="0"/>
              <w:bottom w:val="single" w:color="000000" w:sz="4" w:space="0"/>
              <w:right w:val="single" w:color="000000"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000000" w:sz="4" w:space="0"/>
              <w:right w:val="single" w:color="000000" w:sz="4" w:space="0"/>
            </w:tcBorders>
            <w:tcW w:w="631" w:type="dxa"/>
            <w:vAlign w:val="center"/>
            <w:textDirection w:val="lrTb"/>
            <w:noWrap/>
          </w:tcPr>
          <w:p>
            <w:pPr>
              <w:jc w:val="center"/>
              <w:rPr>
                <w:rFonts w:hint="eastAsia"/>
                <w:sz w:val="20"/>
                <w:szCs w:val="20"/>
              </w:rPr>
            </w:pPr>
            <w:r>
              <w:rPr>
                <w:rFonts w:hint="eastAsia"/>
                <w:sz w:val="20"/>
                <w:szCs w:val="20"/>
              </w:rPr>
              <w:t xml:space="preserve">4</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35</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双通工作台柜</w:t>
            </w: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tcPr>
          <w:p>
            <w:pPr>
              <w:rPr>
                <w:rFonts w:hint="eastAsia"/>
                <w:sz w:val="20"/>
                <w:szCs w:val="20"/>
              </w:rPr>
            </w:pPr>
            <w:r>
              <w:rPr>
                <w:rFonts w:hint="eastAsia"/>
                <w:sz w:val="20"/>
                <w:szCs w:val="20"/>
              </w:rPr>
              <w:t xml:space="preserve">1800*800*800</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台面:采用SUS304 ≥1.5mm不锈钢板            </w:t>
            </w:r>
            <w:r>
              <w:rPr>
                <w:rFonts w:hint="eastAsia"/>
                <w:sz w:val="20"/>
                <w:szCs w:val="20"/>
              </w:rPr>
              <w:br/>
              <w:t xml:space="preserve">侧板：采用SUS304 ≥1.2mm不锈钢板</w:t>
            </w:r>
            <w:r>
              <w:rPr>
                <w:rFonts w:hint="eastAsia"/>
                <w:sz w:val="20"/>
                <w:szCs w:val="20"/>
              </w:rPr>
              <w:br/>
              <w:t xml:space="preserve">层板：采用SUS304 ≥1.2mm不锈钢板            </w:t>
            </w:r>
            <w:r>
              <w:rPr>
                <w:rFonts w:hint="eastAsia"/>
                <w:sz w:val="20"/>
                <w:szCs w:val="20"/>
              </w:rPr>
              <w:br/>
              <w:t xml:space="preserve">移门：采用SUS304 ≥1.2mm双层不锈钢板</w:t>
            </w:r>
            <w:r>
              <w:rPr>
                <w:rFonts w:hint="eastAsia"/>
                <w:sz w:val="20"/>
                <w:szCs w:val="20"/>
              </w:rPr>
              <w:br/>
              <w:t xml:space="preserve">加强筋：采用SUS304 ≥1.2mm不锈钢板</w:t>
            </w:r>
            <w:r>
              <w:rPr>
                <w:rFonts w:hint="eastAsia"/>
                <w:sz w:val="20"/>
                <w:szCs w:val="20"/>
              </w:rPr>
              <w:br/>
              <w:t xml:space="preserve">配SUS304 不锈钢调节子弹脚</w:t>
            </w:r>
            <w:r/>
          </w:p>
        </w:tc>
        <w:tc>
          <w:tcPr>
            <w:tcBorders>
              <w:top w:val="none" w:color="000000" w:sz="4" w:space="0"/>
              <w:left w:val="none" w:color="000000" w:sz="4" w:space="0"/>
              <w:bottom w:val="single" w:color="000000" w:sz="4" w:space="0"/>
              <w:right w:val="single" w:color="000000"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000000" w:sz="4" w:space="0"/>
              <w:right w:val="single" w:color="000000" w:sz="4" w:space="0"/>
            </w:tcBorders>
            <w:tcW w:w="631" w:type="dxa"/>
            <w:vAlign w:val="center"/>
            <w:textDirection w:val="lrTb"/>
            <w:noWrap/>
          </w:tcPr>
          <w:p>
            <w:pPr>
              <w:jc w:val="center"/>
              <w:rPr>
                <w:rFonts w:hint="eastAsia"/>
                <w:sz w:val="20"/>
                <w:szCs w:val="20"/>
              </w:rPr>
            </w:pPr>
            <w:r>
              <w:rPr>
                <w:rFonts w:hint="eastAsia"/>
                <w:sz w:val="20"/>
                <w:szCs w:val="20"/>
              </w:rPr>
              <w:t xml:space="preserve">4</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b/>
                <w:bCs/>
                <w:sz w:val="20"/>
                <w:szCs w:val="20"/>
              </w:rPr>
            </w:pPr>
            <w:r>
              <w:rPr>
                <w:rFonts w:hint="eastAsia"/>
                <w:b/>
                <w:bCs/>
                <w:sz w:val="20"/>
                <w:szCs w:val="20"/>
              </w:rPr>
              <w:t xml:space="preserve">三</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b/>
                <w:bCs/>
                <w:sz w:val="20"/>
                <w:szCs w:val="20"/>
              </w:rPr>
            </w:pPr>
            <w:r>
              <w:rPr>
                <w:rFonts w:hint="eastAsia"/>
                <w:b/>
                <w:bCs/>
                <w:sz w:val="20"/>
                <w:szCs w:val="20"/>
              </w:rPr>
              <w:t xml:space="preserve">水池、污碟台</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680"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631"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rPr>
            </w:pPr>
            <w:r>
              <w:rPr>
                <w:rFonts w:hint="eastAsia"/>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36</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洗手星</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500*450*250+50</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台面:采用SUS304 ≥1.5mm不锈钢板</w:t>
            </w:r>
            <w:r>
              <w:rPr>
                <w:rFonts w:hint="eastAsia"/>
                <w:sz w:val="20"/>
                <w:szCs w:val="20"/>
              </w:rPr>
              <w:br/>
              <w:t xml:space="preserve">槽身:采用SUS304 ≥1.5mm不锈钢板</w:t>
            </w:r>
            <w:r/>
          </w:p>
        </w:tc>
        <w:tc>
          <w:tcPr>
            <w:tcBorders>
              <w:top w:val="none" w:color="000000" w:sz="4" w:space="0"/>
              <w:left w:val="none" w:color="000000" w:sz="4" w:space="0"/>
              <w:bottom w:val="single" w:color="000000" w:sz="4" w:space="0"/>
              <w:right w:val="single" w:color="000000"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000000" w:sz="4" w:space="0"/>
              <w:right w:val="single" w:color="000000" w:sz="4" w:space="0"/>
            </w:tcBorders>
            <w:tcW w:w="631" w:type="dxa"/>
            <w:vAlign w:val="center"/>
            <w:textDirection w:val="lrTb"/>
            <w:noWrap/>
          </w:tcPr>
          <w:p>
            <w:pPr>
              <w:jc w:val="center"/>
              <w:rPr>
                <w:rFonts w:hint="eastAsia"/>
                <w:sz w:val="20"/>
                <w:szCs w:val="20"/>
              </w:rPr>
            </w:pPr>
            <w:r>
              <w:rPr>
                <w:rFonts w:hint="eastAsia"/>
                <w:sz w:val="20"/>
                <w:szCs w:val="20"/>
              </w:rPr>
              <w:t xml:space="preserve">11</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37</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双星洗手星</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850*450*250+50</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台面:采用SUS304 ≥1.5mm不锈钢板</w:t>
            </w:r>
            <w:r>
              <w:rPr>
                <w:rFonts w:hint="eastAsia"/>
                <w:sz w:val="20"/>
                <w:szCs w:val="20"/>
              </w:rPr>
              <w:br/>
              <w:t xml:space="preserve">槽身:采用SUS304 ≥1.5mm不锈钢板</w:t>
            </w:r>
            <w:r/>
          </w:p>
        </w:tc>
        <w:tc>
          <w:tcPr>
            <w:tcBorders>
              <w:top w:val="none" w:color="000000" w:sz="4" w:space="0"/>
              <w:left w:val="none" w:color="000000" w:sz="4" w:space="0"/>
              <w:bottom w:val="single" w:color="000000" w:sz="4" w:space="0"/>
              <w:right w:val="single" w:color="000000"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000000" w:sz="4" w:space="0"/>
              <w:right w:val="single" w:color="000000" w:sz="4" w:space="0"/>
            </w:tcBorders>
            <w:tcW w:w="631" w:type="dxa"/>
            <w:vAlign w:val="center"/>
            <w:textDirection w:val="lrTb"/>
            <w:noWrap/>
          </w:tcPr>
          <w:p>
            <w:pPr>
              <w:jc w:val="center"/>
              <w:rPr>
                <w:rFonts w:hint="eastAsia"/>
                <w:sz w:val="20"/>
                <w:szCs w:val="20"/>
              </w:rPr>
            </w:pPr>
            <w:r>
              <w:rPr>
                <w:rFonts w:hint="eastAsia"/>
                <w:sz w:val="20"/>
                <w:szCs w:val="20"/>
              </w:rPr>
              <w:t xml:space="preserve">1</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38</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大单星盆水池1</w:t>
            </w: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tcPr>
          <w:p>
            <w:pPr>
              <w:rPr>
                <w:rFonts w:hint="eastAsia"/>
                <w:sz w:val="20"/>
                <w:szCs w:val="20"/>
              </w:rPr>
            </w:pPr>
            <w:r>
              <w:rPr>
                <w:rFonts w:hint="eastAsia"/>
                <w:sz w:val="20"/>
                <w:szCs w:val="20"/>
              </w:rPr>
              <w:t xml:space="preserve">1200*760*800+100</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台面:采用SUS304 ≥1.5mm不锈钢板</w:t>
            </w:r>
            <w:r>
              <w:rPr>
                <w:rFonts w:hint="eastAsia"/>
                <w:sz w:val="20"/>
                <w:szCs w:val="20"/>
              </w:rPr>
              <w:br/>
              <w:t xml:space="preserve">槽身:采用SUS304 ≥1.5mm不锈钢板</w:t>
            </w:r>
            <w:r>
              <w:rPr>
                <w:rFonts w:hint="eastAsia"/>
                <w:sz w:val="20"/>
                <w:szCs w:val="20"/>
              </w:rPr>
              <w:br/>
              <w:t xml:space="preserve">脚架：采用SUS304 </w:t>
            </w:r>
            <w:r>
              <w:rPr>
                <w:rFonts w:ascii="Calibri" w:hAnsi="Calibri" w:cs="Calibri"/>
                <w:sz w:val="20"/>
                <w:szCs w:val="20"/>
              </w:rPr>
              <w:t xml:space="preserve">φ</w:t>
            </w:r>
            <w:r>
              <w:rPr>
                <w:rFonts w:hint="eastAsia"/>
                <w:sz w:val="20"/>
                <w:szCs w:val="20"/>
              </w:rPr>
              <w:t xml:space="preserve">38mm，厚度≥1.5mm不锈钢定形管                     </w:t>
            </w:r>
            <w:r>
              <w:rPr>
                <w:rFonts w:hint="eastAsia"/>
                <w:sz w:val="20"/>
                <w:szCs w:val="20"/>
              </w:rPr>
              <w:br/>
              <w:t xml:space="preserve">横档：采用SUS304 </w:t>
            </w:r>
            <w:r>
              <w:rPr>
                <w:rFonts w:ascii="Calibri" w:hAnsi="Calibri" w:cs="Calibri"/>
                <w:sz w:val="20"/>
                <w:szCs w:val="20"/>
              </w:rPr>
              <w:t xml:space="preserve">ф</w:t>
            </w:r>
            <w:r>
              <w:rPr>
                <w:rFonts w:hint="eastAsia"/>
                <w:sz w:val="20"/>
                <w:szCs w:val="20"/>
              </w:rPr>
              <w:t xml:space="preserve">25mm，厚度≥1.2mm不锈钢定形管</w:t>
            </w:r>
            <w:r>
              <w:rPr>
                <w:rFonts w:hint="eastAsia"/>
                <w:sz w:val="20"/>
                <w:szCs w:val="20"/>
              </w:rPr>
              <w:br/>
              <w:t xml:space="preserve">配SUS304 不锈钢调节子弹脚</w:t>
            </w:r>
            <w:r/>
          </w:p>
        </w:tc>
        <w:tc>
          <w:tcPr>
            <w:tcBorders>
              <w:top w:val="none" w:color="000000" w:sz="4" w:space="0"/>
              <w:left w:val="none" w:color="000000" w:sz="4" w:space="0"/>
              <w:bottom w:val="single" w:color="000000" w:sz="4" w:space="0"/>
              <w:right w:val="single" w:color="000000"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000000" w:sz="4" w:space="0"/>
              <w:right w:val="single" w:color="000000" w:sz="4" w:space="0"/>
            </w:tcBorders>
            <w:tcW w:w="631" w:type="dxa"/>
            <w:vAlign w:val="center"/>
            <w:textDirection w:val="lrTb"/>
            <w:noWrap/>
          </w:tcPr>
          <w:p>
            <w:pPr>
              <w:jc w:val="center"/>
              <w:rPr>
                <w:rFonts w:hint="eastAsia"/>
                <w:sz w:val="20"/>
                <w:szCs w:val="20"/>
              </w:rPr>
            </w:pPr>
            <w:r>
              <w:rPr>
                <w:rFonts w:hint="eastAsia"/>
                <w:sz w:val="20"/>
                <w:szCs w:val="20"/>
              </w:rPr>
              <w:t xml:space="preserve">7</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39</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大单星盆水池2</w:t>
            </w: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tcPr>
          <w:p>
            <w:pPr>
              <w:rPr>
                <w:rFonts w:hint="eastAsia"/>
                <w:sz w:val="20"/>
                <w:szCs w:val="20"/>
              </w:rPr>
            </w:pPr>
            <w:r>
              <w:rPr>
                <w:rFonts w:hint="eastAsia"/>
                <w:sz w:val="20"/>
                <w:szCs w:val="20"/>
              </w:rPr>
              <w:t xml:space="preserve">1000*1180*880</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台面:采用SUS304 ≥1.5mm不锈钢板</w:t>
            </w:r>
            <w:r>
              <w:rPr>
                <w:rFonts w:hint="eastAsia"/>
                <w:sz w:val="20"/>
                <w:szCs w:val="20"/>
              </w:rPr>
              <w:br/>
              <w:t xml:space="preserve">槽身:采用SUS304 ≥1.5mm不锈钢板</w:t>
            </w:r>
            <w:r>
              <w:rPr>
                <w:rFonts w:hint="eastAsia"/>
                <w:sz w:val="20"/>
                <w:szCs w:val="20"/>
              </w:rPr>
              <w:br/>
              <w:t xml:space="preserve">脚架：采用SUS304 </w:t>
            </w:r>
            <w:r>
              <w:rPr>
                <w:rFonts w:ascii="Calibri" w:hAnsi="Calibri" w:cs="Calibri"/>
                <w:sz w:val="20"/>
                <w:szCs w:val="20"/>
              </w:rPr>
              <w:t xml:space="preserve">φ</w:t>
            </w:r>
            <w:r>
              <w:rPr>
                <w:rFonts w:hint="eastAsia"/>
                <w:sz w:val="20"/>
                <w:szCs w:val="20"/>
              </w:rPr>
              <w:t xml:space="preserve">38mm，厚度≥1.5mm不锈钢定形管                     </w:t>
            </w:r>
            <w:r>
              <w:rPr>
                <w:rFonts w:hint="eastAsia"/>
                <w:sz w:val="20"/>
                <w:szCs w:val="20"/>
              </w:rPr>
              <w:br/>
              <w:t xml:space="preserve">横档：采用SUS304 </w:t>
            </w:r>
            <w:r>
              <w:rPr>
                <w:rFonts w:ascii="Calibri" w:hAnsi="Calibri" w:cs="Calibri"/>
                <w:sz w:val="20"/>
                <w:szCs w:val="20"/>
              </w:rPr>
              <w:t xml:space="preserve">ф</w:t>
            </w:r>
            <w:r>
              <w:rPr>
                <w:rFonts w:hint="eastAsia"/>
                <w:sz w:val="20"/>
                <w:szCs w:val="20"/>
              </w:rPr>
              <w:t xml:space="preserve">25mm，厚度≥1.2mm不锈钢定形管</w:t>
            </w:r>
            <w:r>
              <w:rPr>
                <w:rFonts w:hint="eastAsia"/>
                <w:sz w:val="20"/>
                <w:szCs w:val="20"/>
              </w:rPr>
              <w:br/>
              <w:t xml:space="preserve">配SUS304 不锈钢调节子弹脚</w:t>
            </w:r>
            <w:r/>
          </w:p>
        </w:tc>
        <w:tc>
          <w:tcPr>
            <w:tcBorders>
              <w:top w:val="none" w:color="000000" w:sz="4" w:space="0"/>
              <w:left w:val="none" w:color="000000" w:sz="4" w:space="0"/>
              <w:bottom w:val="single" w:color="000000" w:sz="4" w:space="0"/>
              <w:right w:val="single" w:color="000000"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000000" w:sz="4" w:space="0"/>
              <w:right w:val="single" w:color="000000" w:sz="4" w:space="0"/>
            </w:tcBorders>
            <w:tcW w:w="631" w:type="dxa"/>
            <w:vAlign w:val="center"/>
            <w:textDirection w:val="lrTb"/>
            <w:noWrap/>
          </w:tcPr>
          <w:p>
            <w:pPr>
              <w:jc w:val="center"/>
              <w:rPr>
                <w:rFonts w:hint="eastAsia"/>
                <w:sz w:val="20"/>
                <w:szCs w:val="20"/>
              </w:rPr>
            </w:pPr>
            <w:r>
              <w:rPr>
                <w:rFonts w:hint="eastAsia"/>
                <w:sz w:val="20"/>
                <w:szCs w:val="20"/>
              </w:rPr>
              <w:t xml:space="preserve">1</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40</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大单星盆水池3</w:t>
            </w: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tcPr>
          <w:p>
            <w:pPr>
              <w:rPr>
                <w:rFonts w:hint="eastAsia"/>
                <w:sz w:val="20"/>
                <w:szCs w:val="20"/>
              </w:rPr>
            </w:pPr>
            <w:r>
              <w:rPr>
                <w:rFonts w:hint="eastAsia"/>
                <w:sz w:val="20"/>
                <w:szCs w:val="20"/>
              </w:rPr>
              <w:t xml:space="preserve">1000*760*800+100</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台面:采用SUS304 ≥1.5mm不锈钢板</w:t>
            </w:r>
            <w:r>
              <w:rPr>
                <w:rFonts w:hint="eastAsia"/>
                <w:sz w:val="20"/>
                <w:szCs w:val="20"/>
              </w:rPr>
              <w:br/>
              <w:t xml:space="preserve">槽身:采用SUS304 ≥1.5mm不锈钢板</w:t>
            </w:r>
            <w:r>
              <w:rPr>
                <w:rFonts w:hint="eastAsia"/>
                <w:sz w:val="20"/>
                <w:szCs w:val="20"/>
              </w:rPr>
              <w:br/>
              <w:t xml:space="preserve">脚架：采用SUS304 </w:t>
            </w:r>
            <w:r>
              <w:rPr>
                <w:rFonts w:ascii="Calibri" w:hAnsi="Calibri" w:cs="Calibri"/>
                <w:sz w:val="20"/>
                <w:szCs w:val="20"/>
              </w:rPr>
              <w:t xml:space="preserve">φ</w:t>
            </w:r>
            <w:r>
              <w:rPr>
                <w:rFonts w:hint="eastAsia"/>
                <w:sz w:val="20"/>
                <w:szCs w:val="20"/>
              </w:rPr>
              <w:t xml:space="preserve">38mm，厚度≥1.5mm不锈钢定形管                     </w:t>
            </w:r>
            <w:r>
              <w:rPr>
                <w:rFonts w:hint="eastAsia"/>
                <w:sz w:val="20"/>
                <w:szCs w:val="20"/>
              </w:rPr>
              <w:br/>
              <w:t xml:space="preserve">横档：采用SUS304 </w:t>
            </w:r>
            <w:r>
              <w:rPr>
                <w:rFonts w:ascii="Calibri" w:hAnsi="Calibri" w:cs="Calibri"/>
                <w:sz w:val="20"/>
                <w:szCs w:val="20"/>
              </w:rPr>
              <w:t xml:space="preserve">ф</w:t>
            </w:r>
            <w:r>
              <w:rPr>
                <w:rFonts w:hint="eastAsia"/>
                <w:sz w:val="20"/>
                <w:szCs w:val="20"/>
              </w:rPr>
              <w:t xml:space="preserve">25mm，厚度≥1.2mm不锈钢定形管</w:t>
            </w:r>
            <w:r>
              <w:rPr>
                <w:rFonts w:hint="eastAsia"/>
                <w:sz w:val="20"/>
                <w:szCs w:val="20"/>
              </w:rPr>
              <w:br/>
              <w:t xml:space="preserve">配SUS304 不锈钢调节子弹脚</w:t>
            </w:r>
            <w:r/>
          </w:p>
        </w:tc>
        <w:tc>
          <w:tcPr>
            <w:tcBorders>
              <w:top w:val="none" w:color="000000" w:sz="4" w:space="0"/>
              <w:left w:val="none" w:color="000000" w:sz="4" w:space="0"/>
              <w:bottom w:val="single" w:color="000000" w:sz="4" w:space="0"/>
              <w:right w:val="single" w:color="000000"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000000" w:sz="4" w:space="0"/>
              <w:right w:val="single" w:color="000000" w:sz="4" w:space="0"/>
            </w:tcBorders>
            <w:tcW w:w="631" w:type="dxa"/>
            <w:vAlign w:val="center"/>
            <w:textDirection w:val="lrTb"/>
            <w:noWrap/>
          </w:tcPr>
          <w:p>
            <w:pPr>
              <w:jc w:val="center"/>
              <w:rPr>
                <w:rFonts w:hint="eastAsia"/>
                <w:sz w:val="20"/>
                <w:szCs w:val="20"/>
              </w:rPr>
            </w:pPr>
            <w:r>
              <w:rPr>
                <w:rFonts w:hint="eastAsia"/>
                <w:sz w:val="20"/>
                <w:szCs w:val="20"/>
              </w:rPr>
              <w:t xml:space="preserve">8</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41</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大单星盆水池4</w:t>
            </w: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tcPr>
          <w:p>
            <w:pPr>
              <w:rPr>
                <w:rFonts w:hint="eastAsia"/>
                <w:sz w:val="20"/>
                <w:szCs w:val="20"/>
              </w:rPr>
            </w:pPr>
            <w:r>
              <w:rPr>
                <w:rFonts w:hint="eastAsia"/>
                <w:sz w:val="20"/>
                <w:szCs w:val="20"/>
              </w:rPr>
              <w:t xml:space="preserve">1000*700*800+100</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台面:采用SUS304 ≥1.5mm不锈钢板</w:t>
            </w:r>
            <w:r>
              <w:rPr>
                <w:rFonts w:hint="eastAsia"/>
                <w:sz w:val="20"/>
                <w:szCs w:val="20"/>
              </w:rPr>
              <w:br/>
              <w:t xml:space="preserve">槽身:采用SUS304 ≥1.5mm不锈钢板</w:t>
            </w:r>
            <w:r>
              <w:rPr>
                <w:rFonts w:hint="eastAsia"/>
                <w:sz w:val="20"/>
                <w:szCs w:val="20"/>
              </w:rPr>
              <w:br/>
              <w:t xml:space="preserve">脚架：采用SUS304 </w:t>
            </w:r>
            <w:r>
              <w:rPr>
                <w:rFonts w:ascii="Calibri" w:hAnsi="Calibri" w:cs="Calibri"/>
                <w:sz w:val="20"/>
                <w:szCs w:val="20"/>
              </w:rPr>
              <w:t xml:space="preserve">φ</w:t>
            </w:r>
            <w:r>
              <w:rPr>
                <w:rFonts w:hint="eastAsia"/>
                <w:sz w:val="20"/>
                <w:szCs w:val="20"/>
              </w:rPr>
              <w:t xml:space="preserve">38mm，厚度≥1.5mm不锈钢定形管                     </w:t>
            </w:r>
            <w:r>
              <w:rPr>
                <w:rFonts w:hint="eastAsia"/>
                <w:sz w:val="20"/>
                <w:szCs w:val="20"/>
              </w:rPr>
              <w:br/>
              <w:t xml:space="preserve">横档：采用SUS304 </w:t>
            </w:r>
            <w:r>
              <w:rPr>
                <w:rFonts w:ascii="Calibri" w:hAnsi="Calibri" w:cs="Calibri"/>
                <w:sz w:val="20"/>
                <w:szCs w:val="20"/>
              </w:rPr>
              <w:t xml:space="preserve">ф</w:t>
            </w:r>
            <w:r>
              <w:rPr>
                <w:rFonts w:hint="eastAsia"/>
                <w:sz w:val="20"/>
                <w:szCs w:val="20"/>
              </w:rPr>
              <w:t xml:space="preserve">25mm，厚度≥1.2mm不锈钢定形管</w:t>
            </w:r>
            <w:r>
              <w:rPr>
                <w:rFonts w:hint="eastAsia"/>
                <w:sz w:val="20"/>
                <w:szCs w:val="20"/>
              </w:rPr>
              <w:br/>
              <w:t xml:space="preserve">配SUS304 不锈钢调节子弹脚</w:t>
            </w:r>
            <w:r/>
          </w:p>
        </w:tc>
        <w:tc>
          <w:tcPr>
            <w:tcBorders>
              <w:top w:val="none" w:color="000000" w:sz="4" w:space="0"/>
              <w:left w:val="none" w:color="000000" w:sz="4" w:space="0"/>
              <w:bottom w:val="single" w:color="000000" w:sz="4" w:space="0"/>
              <w:right w:val="single" w:color="000000"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000000" w:sz="4" w:space="0"/>
              <w:right w:val="single" w:color="000000" w:sz="4" w:space="0"/>
            </w:tcBorders>
            <w:tcW w:w="631" w:type="dxa"/>
            <w:vAlign w:val="center"/>
            <w:textDirection w:val="lrTb"/>
            <w:noWrap/>
          </w:tcPr>
          <w:p>
            <w:pPr>
              <w:jc w:val="center"/>
              <w:rPr>
                <w:rFonts w:hint="eastAsia"/>
                <w:sz w:val="20"/>
                <w:szCs w:val="20"/>
              </w:rPr>
            </w:pPr>
            <w:r>
              <w:rPr>
                <w:rFonts w:hint="eastAsia"/>
                <w:sz w:val="20"/>
                <w:szCs w:val="20"/>
              </w:rPr>
              <w:t xml:space="preserve">14</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42</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大单星盆水池5</w:t>
            </w: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tcPr>
          <w:p>
            <w:pPr>
              <w:rPr>
                <w:rFonts w:hint="eastAsia"/>
                <w:sz w:val="20"/>
                <w:szCs w:val="20"/>
              </w:rPr>
            </w:pPr>
            <w:r>
              <w:rPr>
                <w:rFonts w:hint="eastAsia"/>
                <w:sz w:val="20"/>
                <w:szCs w:val="20"/>
              </w:rPr>
              <w:t xml:space="preserve">1000*1000*880</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台面:采用SUS304 ≥1.5mm不锈钢板</w:t>
            </w:r>
            <w:r>
              <w:rPr>
                <w:rFonts w:hint="eastAsia"/>
                <w:sz w:val="20"/>
                <w:szCs w:val="20"/>
              </w:rPr>
              <w:br/>
              <w:t xml:space="preserve">槽身:采用SUS304 ≥1.5mm不锈钢板</w:t>
            </w:r>
            <w:r>
              <w:rPr>
                <w:rFonts w:hint="eastAsia"/>
                <w:sz w:val="20"/>
                <w:szCs w:val="20"/>
              </w:rPr>
              <w:br/>
              <w:t xml:space="preserve">脚架：采用SUS304 </w:t>
            </w:r>
            <w:r>
              <w:rPr>
                <w:rFonts w:ascii="Calibri" w:hAnsi="Calibri" w:cs="Calibri"/>
                <w:sz w:val="20"/>
                <w:szCs w:val="20"/>
              </w:rPr>
              <w:t xml:space="preserve">φ</w:t>
            </w:r>
            <w:r>
              <w:rPr>
                <w:rFonts w:hint="eastAsia"/>
                <w:sz w:val="20"/>
                <w:szCs w:val="20"/>
              </w:rPr>
              <w:t xml:space="preserve">38mm，厚度≥1.5mm不锈钢定形管                     </w:t>
            </w:r>
            <w:r>
              <w:rPr>
                <w:rFonts w:hint="eastAsia"/>
                <w:sz w:val="20"/>
                <w:szCs w:val="20"/>
              </w:rPr>
              <w:br/>
              <w:t xml:space="preserve">横档：采用SUS304 </w:t>
            </w:r>
            <w:r>
              <w:rPr>
                <w:rFonts w:ascii="Calibri" w:hAnsi="Calibri" w:cs="Calibri"/>
                <w:sz w:val="20"/>
                <w:szCs w:val="20"/>
              </w:rPr>
              <w:t xml:space="preserve">ф</w:t>
            </w:r>
            <w:r>
              <w:rPr>
                <w:rFonts w:hint="eastAsia"/>
                <w:sz w:val="20"/>
                <w:szCs w:val="20"/>
              </w:rPr>
              <w:t xml:space="preserve">25mm，厚度≥1.2mm不锈钢定形管</w:t>
            </w:r>
            <w:r>
              <w:rPr>
                <w:rFonts w:hint="eastAsia"/>
                <w:sz w:val="20"/>
                <w:szCs w:val="20"/>
              </w:rPr>
              <w:br/>
              <w:t xml:space="preserve">配SUS304 不锈钢调节子弹脚</w:t>
            </w:r>
            <w:r/>
          </w:p>
        </w:tc>
        <w:tc>
          <w:tcPr>
            <w:tcBorders>
              <w:top w:val="none" w:color="000000" w:sz="4" w:space="0"/>
              <w:left w:val="none" w:color="000000" w:sz="4" w:space="0"/>
              <w:bottom w:val="single" w:color="000000" w:sz="4" w:space="0"/>
              <w:right w:val="single" w:color="000000"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000000" w:sz="4" w:space="0"/>
              <w:right w:val="single" w:color="000000" w:sz="4" w:space="0"/>
            </w:tcBorders>
            <w:tcW w:w="631" w:type="dxa"/>
            <w:vAlign w:val="center"/>
            <w:textDirection w:val="lrTb"/>
            <w:noWrap/>
          </w:tcPr>
          <w:p>
            <w:pPr>
              <w:jc w:val="center"/>
              <w:rPr>
                <w:rFonts w:hint="eastAsia"/>
                <w:sz w:val="20"/>
                <w:szCs w:val="20"/>
              </w:rPr>
            </w:pPr>
            <w:r>
              <w:rPr>
                <w:rFonts w:hint="eastAsia"/>
                <w:sz w:val="20"/>
                <w:szCs w:val="20"/>
              </w:rPr>
              <w:t xml:space="preserve">1</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43</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单星盆水池</w:t>
            </w: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tcPr>
          <w:p>
            <w:pPr>
              <w:rPr>
                <w:rFonts w:hint="eastAsia"/>
                <w:sz w:val="20"/>
                <w:szCs w:val="20"/>
              </w:rPr>
            </w:pPr>
            <w:r>
              <w:rPr>
                <w:rFonts w:hint="eastAsia"/>
                <w:sz w:val="20"/>
                <w:szCs w:val="20"/>
              </w:rPr>
              <w:t xml:space="preserve">1500*760*800+100</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台面:采用SUS304 ≥1.5mm不锈钢板</w:t>
            </w:r>
            <w:r>
              <w:rPr>
                <w:rFonts w:hint="eastAsia"/>
                <w:sz w:val="20"/>
                <w:szCs w:val="20"/>
              </w:rPr>
              <w:br/>
              <w:t xml:space="preserve">槽身:采用SUS304 ≥1.5mm不锈钢板</w:t>
            </w:r>
            <w:r>
              <w:rPr>
                <w:rFonts w:hint="eastAsia"/>
                <w:sz w:val="20"/>
                <w:szCs w:val="20"/>
              </w:rPr>
              <w:br/>
              <w:t xml:space="preserve">脚架：采用SUS304 </w:t>
            </w:r>
            <w:r>
              <w:rPr>
                <w:rFonts w:ascii="Calibri" w:hAnsi="Calibri" w:cs="Calibri"/>
                <w:sz w:val="20"/>
                <w:szCs w:val="20"/>
              </w:rPr>
              <w:t xml:space="preserve">φ</w:t>
            </w:r>
            <w:r>
              <w:rPr>
                <w:rFonts w:hint="eastAsia"/>
                <w:sz w:val="20"/>
                <w:szCs w:val="20"/>
              </w:rPr>
              <w:t xml:space="preserve">38mm，厚度≥1.5mm不锈钢定形管                     </w:t>
            </w:r>
            <w:r>
              <w:rPr>
                <w:rFonts w:hint="eastAsia"/>
                <w:sz w:val="20"/>
                <w:szCs w:val="20"/>
              </w:rPr>
              <w:br/>
              <w:t xml:space="preserve">横档：采用SUS304 </w:t>
            </w:r>
            <w:r>
              <w:rPr>
                <w:rFonts w:ascii="Calibri" w:hAnsi="Calibri" w:cs="Calibri"/>
                <w:sz w:val="20"/>
                <w:szCs w:val="20"/>
              </w:rPr>
              <w:t xml:space="preserve">ф</w:t>
            </w:r>
            <w:r>
              <w:rPr>
                <w:rFonts w:hint="eastAsia"/>
                <w:sz w:val="20"/>
                <w:szCs w:val="20"/>
              </w:rPr>
              <w:t xml:space="preserve">25mm，厚度≥1.2mm不锈钢定形管</w:t>
            </w:r>
            <w:r>
              <w:rPr>
                <w:rFonts w:hint="eastAsia"/>
                <w:sz w:val="20"/>
                <w:szCs w:val="20"/>
              </w:rPr>
              <w:br/>
              <w:t xml:space="preserve">配SUS304 不锈钢调节子弹脚</w:t>
            </w:r>
            <w:r/>
          </w:p>
        </w:tc>
        <w:tc>
          <w:tcPr>
            <w:tcBorders>
              <w:top w:val="none" w:color="000000" w:sz="4" w:space="0"/>
              <w:left w:val="none" w:color="000000" w:sz="4" w:space="0"/>
              <w:bottom w:val="single" w:color="000000" w:sz="4" w:space="0"/>
              <w:right w:val="single" w:color="000000"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000000" w:sz="4" w:space="0"/>
              <w:right w:val="single" w:color="000000" w:sz="4" w:space="0"/>
            </w:tcBorders>
            <w:tcW w:w="631" w:type="dxa"/>
            <w:vAlign w:val="center"/>
            <w:textDirection w:val="lrTb"/>
            <w:noWrap/>
          </w:tcPr>
          <w:p>
            <w:pPr>
              <w:jc w:val="center"/>
              <w:rPr>
                <w:rFonts w:hint="eastAsia"/>
                <w:sz w:val="20"/>
                <w:szCs w:val="20"/>
              </w:rPr>
            </w:pPr>
            <w:r>
              <w:rPr>
                <w:rFonts w:hint="eastAsia"/>
                <w:sz w:val="20"/>
                <w:szCs w:val="20"/>
              </w:rPr>
              <w:t xml:space="preserve">1</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44</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单星盆水池柜1</w:t>
            </w: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tcPr>
          <w:p>
            <w:pPr>
              <w:rPr>
                <w:rFonts w:hint="eastAsia"/>
                <w:sz w:val="20"/>
                <w:szCs w:val="20"/>
              </w:rPr>
            </w:pPr>
            <w:r>
              <w:rPr>
                <w:rFonts w:hint="eastAsia"/>
                <w:sz w:val="20"/>
                <w:szCs w:val="20"/>
              </w:rPr>
              <w:t xml:space="preserve">1200*760*800+100</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台面:采用SUS304 ≥1.5mm不锈钢板              </w:t>
            </w:r>
            <w:r>
              <w:rPr>
                <w:rFonts w:hint="eastAsia"/>
                <w:sz w:val="20"/>
                <w:szCs w:val="20"/>
              </w:rPr>
              <w:br/>
              <w:t xml:space="preserve">侧板：采用SUS304 ≥1.2mm不锈钢板</w:t>
            </w:r>
            <w:r>
              <w:rPr>
                <w:rFonts w:hint="eastAsia"/>
                <w:sz w:val="20"/>
                <w:szCs w:val="20"/>
              </w:rPr>
              <w:br/>
              <w:t xml:space="preserve">层板：采用SUS304 ≥1.2mm不锈钢板             </w:t>
            </w:r>
            <w:r>
              <w:rPr>
                <w:rFonts w:hint="eastAsia"/>
                <w:sz w:val="20"/>
                <w:szCs w:val="20"/>
              </w:rPr>
              <w:br/>
              <w:t xml:space="preserve">门：采用SUS304 ≥1.2mm双层不锈钢板</w:t>
            </w:r>
            <w:r>
              <w:rPr>
                <w:rFonts w:hint="eastAsia"/>
                <w:sz w:val="20"/>
                <w:szCs w:val="20"/>
              </w:rPr>
              <w:br/>
              <w:t xml:space="preserve">配吊轮</w:t>
            </w:r>
            <w:r>
              <w:rPr>
                <w:rFonts w:hint="eastAsia"/>
                <w:sz w:val="20"/>
                <w:szCs w:val="20"/>
              </w:rPr>
              <w:br/>
              <w:t xml:space="preserve">加强筋：采用SUS304 ≥1.2mm不锈钢板</w:t>
            </w:r>
            <w:r>
              <w:rPr>
                <w:rFonts w:hint="eastAsia"/>
                <w:sz w:val="20"/>
                <w:szCs w:val="20"/>
              </w:rPr>
              <w:br/>
              <w:t xml:space="preserve">SUS304不锈钢可调重型脚</w:t>
            </w:r>
            <w:r/>
          </w:p>
        </w:tc>
        <w:tc>
          <w:tcPr>
            <w:tcBorders>
              <w:top w:val="none" w:color="000000" w:sz="4" w:space="0"/>
              <w:left w:val="none" w:color="000000" w:sz="4" w:space="0"/>
              <w:bottom w:val="single" w:color="000000" w:sz="4" w:space="0"/>
              <w:right w:val="single" w:color="000000"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000000" w:sz="4" w:space="0"/>
              <w:right w:val="single" w:color="000000" w:sz="4" w:space="0"/>
            </w:tcBorders>
            <w:tcW w:w="631" w:type="dxa"/>
            <w:vAlign w:val="center"/>
            <w:textDirection w:val="lrTb"/>
            <w:noWrap/>
          </w:tcPr>
          <w:p>
            <w:pPr>
              <w:jc w:val="center"/>
              <w:rPr>
                <w:rFonts w:hint="eastAsia"/>
                <w:sz w:val="20"/>
                <w:szCs w:val="20"/>
              </w:rPr>
            </w:pPr>
            <w:r>
              <w:rPr>
                <w:rFonts w:hint="eastAsia"/>
                <w:sz w:val="20"/>
                <w:szCs w:val="20"/>
              </w:rPr>
              <w:t xml:space="preserve">7</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45</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单星盆水池柜2</w:t>
            </w: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tcPr>
          <w:p>
            <w:pPr>
              <w:rPr>
                <w:rFonts w:hint="eastAsia"/>
                <w:sz w:val="20"/>
                <w:szCs w:val="20"/>
              </w:rPr>
            </w:pPr>
            <w:r>
              <w:rPr>
                <w:rFonts w:hint="eastAsia"/>
                <w:sz w:val="20"/>
                <w:szCs w:val="20"/>
              </w:rPr>
              <w:t xml:space="preserve">700*760*800+100</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台面:采用SUS304 ≥1.5mm不锈钢板              </w:t>
            </w:r>
            <w:r>
              <w:rPr>
                <w:rFonts w:hint="eastAsia"/>
                <w:sz w:val="20"/>
                <w:szCs w:val="20"/>
              </w:rPr>
              <w:br/>
              <w:t xml:space="preserve">侧板：采用SUS304 ≥1.2mm不锈钢板</w:t>
            </w:r>
            <w:r>
              <w:rPr>
                <w:rFonts w:hint="eastAsia"/>
                <w:sz w:val="20"/>
                <w:szCs w:val="20"/>
              </w:rPr>
              <w:br/>
              <w:t xml:space="preserve">层板：采用SUS304 ≥1.2mm不锈钢板             </w:t>
            </w:r>
            <w:r>
              <w:rPr>
                <w:rFonts w:hint="eastAsia"/>
                <w:sz w:val="20"/>
                <w:szCs w:val="20"/>
              </w:rPr>
              <w:br/>
              <w:t xml:space="preserve">门：采用SUS304 ≥1.2mm双层不锈钢板</w:t>
            </w:r>
            <w:r>
              <w:rPr>
                <w:rFonts w:hint="eastAsia"/>
                <w:sz w:val="20"/>
                <w:szCs w:val="20"/>
              </w:rPr>
              <w:br/>
              <w:t xml:space="preserve">配吊轮</w:t>
            </w:r>
            <w:r>
              <w:rPr>
                <w:rFonts w:hint="eastAsia"/>
                <w:sz w:val="20"/>
                <w:szCs w:val="20"/>
              </w:rPr>
              <w:br/>
              <w:t xml:space="preserve">加强筋：采用SUS304 ≥1.2mm不锈钢板</w:t>
            </w:r>
            <w:r>
              <w:rPr>
                <w:rFonts w:hint="eastAsia"/>
                <w:sz w:val="20"/>
                <w:szCs w:val="20"/>
              </w:rPr>
              <w:br/>
              <w:t xml:space="preserve">SUS304不锈钢可调重型脚</w:t>
            </w:r>
            <w:r/>
          </w:p>
        </w:tc>
        <w:tc>
          <w:tcPr>
            <w:tcBorders>
              <w:top w:val="none" w:color="000000" w:sz="4" w:space="0"/>
              <w:left w:val="none" w:color="000000" w:sz="4" w:space="0"/>
              <w:bottom w:val="single" w:color="000000" w:sz="4" w:space="0"/>
              <w:right w:val="single" w:color="000000"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000000" w:sz="4" w:space="0"/>
              <w:right w:val="single" w:color="000000" w:sz="4" w:space="0"/>
            </w:tcBorders>
            <w:tcW w:w="631" w:type="dxa"/>
            <w:vAlign w:val="center"/>
            <w:textDirection w:val="lrTb"/>
            <w:noWrap/>
          </w:tcPr>
          <w:p>
            <w:pPr>
              <w:jc w:val="center"/>
              <w:rPr>
                <w:rFonts w:hint="eastAsia"/>
                <w:sz w:val="20"/>
                <w:szCs w:val="20"/>
              </w:rPr>
            </w:pPr>
            <w:r>
              <w:rPr>
                <w:rFonts w:hint="eastAsia"/>
                <w:sz w:val="20"/>
                <w:szCs w:val="20"/>
              </w:rPr>
              <w:t xml:space="preserve">7</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46</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双星盆水池1</w:t>
            </w: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tcPr>
          <w:p>
            <w:pPr>
              <w:rPr>
                <w:rFonts w:hint="eastAsia"/>
                <w:sz w:val="20"/>
                <w:szCs w:val="20"/>
              </w:rPr>
            </w:pPr>
            <w:r>
              <w:rPr>
                <w:rFonts w:hint="eastAsia"/>
                <w:sz w:val="20"/>
                <w:szCs w:val="20"/>
              </w:rPr>
              <w:t xml:space="preserve">1200*760*800+100</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台面:采用SUS304 ≥1.5mm不锈钢板</w:t>
            </w:r>
            <w:r>
              <w:rPr>
                <w:rFonts w:hint="eastAsia"/>
                <w:sz w:val="20"/>
                <w:szCs w:val="20"/>
              </w:rPr>
              <w:br/>
              <w:t xml:space="preserve">槽身:采用SUS304 ≥1.5mm不锈钢板</w:t>
            </w:r>
            <w:r>
              <w:rPr>
                <w:rFonts w:hint="eastAsia"/>
                <w:sz w:val="20"/>
                <w:szCs w:val="20"/>
              </w:rPr>
              <w:br/>
              <w:t xml:space="preserve">脚架：采用SUS304 </w:t>
            </w:r>
            <w:r>
              <w:rPr>
                <w:rFonts w:ascii="Calibri" w:hAnsi="Calibri" w:cs="Calibri"/>
                <w:sz w:val="20"/>
                <w:szCs w:val="20"/>
              </w:rPr>
              <w:t xml:space="preserve">φ</w:t>
            </w:r>
            <w:r>
              <w:rPr>
                <w:rFonts w:hint="eastAsia"/>
                <w:sz w:val="20"/>
                <w:szCs w:val="20"/>
              </w:rPr>
              <w:t xml:space="preserve">38mm，厚度≥1.5mm不锈钢定形管                     </w:t>
            </w:r>
            <w:r>
              <w:rPr>
                <w:rFonts w:hint="eastAsia"/>
                <w:sz w:val="20"/>
                <w:szCs w:val="20"/>
              </w:rPr>
              <w:br/>
              <w:t xml:space="preserve">横档：采用SUS304 </w:t>
            </w:r>
            <w:r>
              <w:rPr>
                <w:rFonts w:ascii="Calibri" w:hAnsi="Calibri" w:cs="Calibri"/>
                <w:sz w:val="20"/>
                <w:szCs w:val="20"/>
              </w:rPr>
              <w:t xml:space="preserve">ф</w:t>
            </w:r>
            <w:r>
              <w:rPr>
                <w:rFonts w:hint="eastAsia"/>
                <w:sz w:val="20"/>
                <w:szCs w:val="20"/>
              </w:rPr>
              <w:t xml:space="preserve">25mm，厚度≥1.2mm不锈钢定形管</w:t>
            </w:r>
            <w:r>
              <w:rPr>
                <w:rFonts w:hint="eastAsia"/>
                <w:sz w:val="20"/>
                <w:szCs w:val="20"/>
              </w:rPr>
              <w:br/>
              <w:t xml:space="preserve">配SUS304 不锈钢调节子弹脚</w:t>
            </w:r>
            <w:r/>
          </w:p>
        </w:tc>
        <w:tc>
          <w:tcPr>
            <w:tcBorders>
              <w:top w:val="none" w:color="000000" w:sz="4" w:space="0"/>
              <w:left w:val="none" w:color="000000" w:sz="4" w:space="0"/>
              <w:bottom w:val="single" w:color="000000" w:sz="4" w:space="0"/>
              <w:right w:val="single" w:color="000000"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000000" w:sz="4" w:space="0"/>
              <w:right w:val="single" w:color="000000" w:sz="4" w:space="0"/>
            </w:tcBorders>
            <w:tcW w:w="631" w:type="dxa"/>
            <w:vAlign w:val="center"/>
            <w:textDirection w:val="lrTb"/>
            <w:noWrap/>
          </w:tcPr>
          <w:p>
            <w:pPr>
              <w:jc w:val="center"/>
              <w:rPr>
                <w:rFonts w:hint="eastAsia"/>
                <w:sz w:val="20"/>
                <w:szCs w:val="20"/>
              </w:rPr>
            </w:pPr>
            <w:r>
              <w:rPr>
                <w:rFonts w:hint="eastAsia"/>
                <w:sz w:val="20"/>
                <w:szCs w:val="20"/>
              </w:rPr>
              <w:t xml:space="preserve">5</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47</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双星盆水池2</w:t>
            </w: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tcPr>
          <w:p>
            <w:pPr>
              <w:rPr>
                <w:rFonts w:hint="eastAsia"/>
                <w:sz w:val="20"/>
                <w:szCs w:val="20"/>
              </w:rPr>
            </w:pPr>
            <w:r>
              <w:rPr>
                <w:rFonts w:hint="eastAsia"/>
                <w:sz w:val="20"/>
                <w:szCs w:val="20"/>
              </w:rPr>
              <w:t xml:space="preserve">1250*700*800+100</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台面:采用SUS304 ≥1.5mm不锈钢板</w:t>
            </w:r>
            <w:r>
              <w:rPr>
                <w:rFonts w:hint="eastAsia"/>
                <w:sz w:val="20"/>
                <w:szCs w:val="20"/>
              </w:rPr>
              <w:br/>
              <w:t xml:space="preserve">槽身:采用SUS304 ≥1.5mm不锈钢板</w:t>
            </w:r>
            <w:r>
              <w:rPr>
                <w:rFonts w:hint="eastAsia"/>
                <w:sz w:val="20"/>
                <w:szCs w:val="20"/>
              </w:rPr>
              <w:br/>
              <w:t xml:space="preserve">脚架：采用SUS304 </w:t>
            </w:r>
            <w:r>
              <w:rPr>
                <w:rFonts w:ascii="Calibri" w:hAnsi="Calibri" w:cs="Calibri"/>
                <w:sz w:val="20"/>
                <w:szCs w:val="20"/>
              </w:rPr>
              <w:t xml:space="preserve">φ</w:t>
            </w:r>
            <w:r>
              <w:rPr>
                <w:rFonts w:hint="eastAsia"/>
                <w:sz w:val="20"/>
                <w:szCs w:val="20"/>
              </w:rPr>
              <w:t xml:space="preserve">38mm，厚度≥1.5mm不锈钢定形管                     </w:t>
            </w:r>
            <w:r>
              <w:rPr>
                <w:rFonts w:hint="eastAsia"/>
                <w:sz w:val="20"/>
                <w:szCs w:val="20"/>
              </w:rPr>
              <w:br/>
              <w:t xml:space="preserve">横档：采用SUS304 </w:t>
            </w:r>
            <w:r>
              <w:rPr>
                <w:rFonts w:ascii="Calibri" w:hAnsi="Calibri" w:cs="Calibri"/>
                <w:sz w:val="20"/>
                <w:szCs w:val="20"/>
              </w:rPr>
              <w:t xml:space="preserve">ф</w:t>
            </w:r>
            <w:r>
              <w:rPr>
                <w:rFonts w:hint="eastAsia"/>
                <w:sz w:val="20"/>
                <w:szCs w:val="20"/>
              </w:rPr>
              <w:t xml:space="preserve">25mm，厚度≥1.2mm不锈钢定形管</w:t>
            </w:r>
            <w:r>
              <w:rPr>
                <w:rFonts w:hint="eastAsia"/>
                <w:sz w:val="20"/>
                <w:szCs w:val="20"/>
              </w:rPr>
              <w:br/>
              <w:t xml:space="preserve">配SUS304 不锈钢调节子弹脚</w:t>
            </w:r>
            <w:r/>
          </w:p>
        </w:tc>
        <w:tc>
          <w:tcPr>
            <w:tcBorders>
              <w:top w:val="none" w:color="000000" w:sz="4" w:space="0"/>
              <w:left w:val="none" w:color="000000" w:sz="4" w:space="0"/>
              <w:bottom w:val="single" w:color="000000" w:sz="4" w:space="0"/>
              <w:right w:val="single" w:color="000000"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000000" w:sz="4" w:space="0"/>
              <w:right w:val="single" w:color="000000" w:sz="4" w:space="0"/>
            </w:tcBorders>
            <w:tcW w:w="631" w:type="dxa"/>
            <w:vAlign w:val="center"/>
            <w:textDirection w:val="lrTb"/>
            <w:noWrap/>
          </w:tcPr>
          <w:p>
            <w:pPr>
              <w:jc w:val="center"/>
              <w:rPr>
                <w:rFonts w:hint="eastAsia"/>
                <w:sz w:val="20"/>
                <w:szCs w:val="20"/>
              </w:rPr>
            </w:pPr>
            <w:r>
              <w:rPr>
                <w:rFonts w:hint="eastAsia"/>
                <w:sz w:val="20"/>
                <w:szCs w:val="20"/>
              </w:rPr>
              <w:t xml:space="preserve">1</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48</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双星盆水池3</w:t>
            </w: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tcPr>
          <w:p>
            <w:pPr>
              <w:rPr>
                <w:rFonts w:hint="eastAsia"/>
                <w:sz w:val="20"/>
                <w:szCs w:val="20"/>
              </w:rPr>
            </w:pPr>
            <w:r>
              <w:rPr>
                <w:rFonts w:hint="eastAsia"/>
                <w:sz w:val="20"/>
                <w:szCs w:val="20"/>
              </w:rPr>
              <w:t xml:space="preserve">1500*700*800+100</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台面:采用SUS304 ≥1.5mm不锈钢板</w:t>
            </w:r>
            <w:r>
              <w:rPr>
                <w:rFonts w:hint="eastAsia"/>
                <w:sz w:val="20"/>
                <w:szCs w:val="20"/>
              </w:rPr>
              <w:br/>
              <w:t xml:space="preserve">槽身:采用SUS304 ≥1.5mm不锈钢板</w:t>
            </w:r>
            <w:r>
              <w:rPr>
                <w:rFonts w:hint="eastAsia"/>
                <w:sz w:val="20"/>
                <w:szCs w:val="20"/>
              </w:rPr>
              <w:br/>
              <w:t xml:space="preserve">脚架：采用SUS304 </w:t>
            </w:r>
            <w:r>
              <w:rPr>
                <w:rFonts w:ascii="Calibri" w:hAnsi="Calibri" w:cs="Calibri"/>
                <w:sz w:val="20"/>
                <w:szCs w:val="20"/>
              </w:rPr>
              <w:t xml:space="preserve">φ</w:t>
            </w:r>
            <w:r>
              <w:rPr>
                <w:rFonts w:hint="eastAsia"/>
                <w:sz w:val="20"/>
                <w:szCs w:val="20"/>
              </w:rPr>
              <w:t xml:space="preserve">38mm，厚度≥1.5mm不锈钢定形管                     </w:t>
            </w:r>
            <w:r>
              <w:rPr>
                <w:rFonts w:hint="eastAsia"/>
                <w:sz w:val="20"/>
                <w:szCs w:val="20"/>
              </w:rPr>
              <w:br/>
              <w:t xml:space="preserve">横档：采用SUS304 </w:t>
            </w:r>
            <w:r>
              <w:rPr>
                <w:rFonts w:ascii="Calibri" w:hAnsi="Calibri" w:cs="Calibri"/>
                <w:sz w:val="20"/>
                <w:szCs w:val="20"/>
              </w:rPr>
              <w:t xml:space="preserve">ф</w:t>
            </w:r>
            <w:r>
              <w:rPr>
                <w:rFonts w:hint="eastAsia"/>
                <w:sz w:val="20"/>
                <w:szCs w:val="20"/>
              </w:rPr>
              <w:t xml:space="preserve">25mm，厚度≥1.2mm不锈钢定形管</w:t>
            </w:r>
            <w:r>
              <w:rPr>
                <w:rFonts w:hint="eastAsia"/>
                <w:sz w:val="20"/>
                <w:szCs w:val="20"/>
              </w:rPr>
              <w:br/>
              <w:t xml:space="preserve">配SUS304 不锈钢调节子弹脚</w:t>
            </w:r>
            <w:r/>
          </w:p>
        </w:tc>
        <w:tc>
          <w:tcPr>
            <w:tcBorders>
              <w:top w:val="none" w:color="000000" w:sz="4" w:space="0"/>
              <w:left w:val="none" w:color="000000" w:sz="4" w:space="0"/>
              <w:bottom w:val="single" w:color="000000" w:sz="4" w:space="0"/>
              <w:right w:val="single" w:color="000000"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000000" w:sz="4" w:space="0"/>
              <w:right w:val="single" w:color="000000" w:sz="4" w:space="0"/>
            </w:tcBorders>
            <w:tcW w:w="631" w:type="dxa"/>
            <w:vAlign w:val="center"/>
            <w:textDirection w:val="lrTb"/>
            <w:noWrap/>
          </w:tcPr>
          <w:p>
            <w:pPr>
              <w:jc w:val="center"/>
              <w:rPr>
                <w:rFonts w:hint="eastAsia"/>
                <w:sz w:val="20"/>
                <w:szCs w:val="20"/>
              </w:rPr>
            </w:pPr>
            <w:r>
              <w:rPr>
                <w:rFonts w:hint="eastAsia"/>
                <w:sz w:val="20"/>
                <w:szCs w:val="20"/>
              </w:rPr>
              <w:t xml:space="preserve">13</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49</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双星盆水池4</w:t>
            </w: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tcPr>
          <w:p>
            <w:pPr>
              <w:rPr>
                <w:rFonts w:hint="eastAsia"/>
                <w:sz w:val="20"/>
                <w:szCs w:val="20"/>
              </w:rPr>
            </w:pPr>
            <w:r>
              <w:rPr>
                <w:rFonts w:hint="eastAsia"/>
                <w:sz w:val="20"/>
                <w:szCs w:val="20"/>
              </w:rPr>
              <w:t xml:space="preserve">1800*760*800+100</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台面:采用SUS304 ≥1.5mm不锈钢板</w:t>
            </w:r>
            <w:r>
              <w:rPr>
                <w:rFonts w:hint="eastAsia"/>
                <w:sz w:val="20"/>
                <w:szCs w:val="20"/>
              </w:rPr>
              <w:br/>
              <w:t xml:space="preserve">槽身:采用SUS304 ≥1.5mm不锈钢板</w:t>
            </w:r>
            <w:r>
              <w:rPr>
                <w:rFonts w:hint="eastAsia"/>
                <w:sz w:val="20"/>
                <w:szCs w:val="20"/>
              </w:rPr>
              <w:br/>
              <w:t xml:space="preserve">脚架：采用SUS304 </w:t>
            </w:r>
            <w:r>
              <w:rPr>
                <w:rFonts w:ascii="Calibri" w:hAnsi="Calibri" w:cs="Calibri"/>
                <w:sz w:val="20"/>
                <w:szCs w:val="20"/>
              </w:rPr>
              <w:t xml:space="preserve">φ</w:t>
            </w:r>
            <w:r>
              <w:rPr>
                <w:rFonts w:hint="eastAsia"/>
                <w:sz w:val="20"/>
                <w:szCs w:val="20"/>
              </w:rPr>
              <w:t xml:space="preserve">38mm，厚度≥1.5mm不锈钢定形管                     </w:t>
            </w:r>
            <w:r>
              <w:rPr>
                <w:rFonts w:hint="eastAsia"/>
                <w:sz w:val="20"/>
                <w:szCs w:val="20"/>
              </w:rPr>
              <w:br/>
              <w:t xml:space="preserve">横档：采用SUS304 </w:t>
            </w:r>
            <w:r>
              <w:rPr>
                <w:rFonts w:ascii="Calibri" w:hAnsi="Calibri" w:cs="Calibri"/>
                <w:sz w:val="20"/>
                <w:szCs w:val="20"/>
              </w:rPr>
              <w:t xml:space="preserve">ф</w:t>
            </w:r>
            <w:r>
              <w:rPr>
                <w:rFonts w:hint="eastAsia"/>
                <w:sz w:val="20"/>
                <w:szCs w:val="20"/>
              </w:rPr>
              <w:t xml:space="preserve">25mm，厚度≥1.2mm不锈钢定形管</w:t>
            </w:r>
            <w:r>
              <w:rPr>
                <w:rFonts w:hint="eastAsia"/>
                <w:sz w:val="20"/>
                <w:szCs w:val="20"/>
              </w:rPr>
              <w:br/>
              <w:t xml:space="preserve">配SUS304 不锈钢调节子弹脚</w:t>
            </w:r>
            <w:r/>
          </w:p>
        </w:tc>
        <w:tc>
          <w:tcPr>
            <w:tcBorders>
              <w:top w:val="none" w:color="000000" w:sz="4" w:space="0"/>
              <w:left w:val="none" w:color="000000" w:sz="4" w:space="0"/>
              <w:bottom w:val="single" w:color="000000" w:sz="4" w:space="0"/>
              <w:right w:val="single" w:color="000000"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31" w:type="dxa"/>
            <w:vAlign w:val="center"/>
            <w:textDirection w:val="lrTb"/>
            <w:noWrap/>
          </w:tcPr>
          <w:p>
            <w:pPr>
              <w:jc w:val="center"/>
              <w:rPr>
                <w:rFonts w:hint="eastAsia"/>
                <w:sz w:val="20"/>
                <w:szCs w:val="20"/>
              </w:rPr>
            </w:pPr>
            <w:r>
              <w:rPr>
                <w:rFonts w:hint="eastAsia"/>
                <w:sz w:val="20"/>
                <w:szCs w:val="20"/>
              </w:rPr>
              <w:t xml:space="preserve">2</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50</w:t>
            </w:r>
            <w:r/>
          </w:p>
        </w:tc>
        <w:tc>
          <w:tcPr>
            <w:tcBorders>
              <w:top w:val="none" w:color="000000" w:sz="4" w:space="0"/>
              <w:left w:val="none" w:color="000000" w:sz="4" w:space="0"/>
              <w:bottom w:val="single" w:color="000000" w:sz="4" w:space="0"/>
              <w:right w:val="single" w:color="000000" w:sz="4" w:space="0"/>
            </w:tcBorders>
            <w:tcW w:w="1637" w:type="dxa"/>
            <w:vAlign w:val="center"/>
            <w:textDirection w:val="lrTb"/>
            <w:noWrap/>
          </w:tcPr>
          <w:p>
            <w:pPr>
              <w:rPr>
                <w:rFonts w:hint="eastAsia"/>
                <w:sz w:val="20"/>
                <w:szCs w:val="20"/>
              </w:rPr>
            </w:pPr>
            <w:r>
              <w:rPr>
                <w:rFonts w:hint="eastAsia"/>
                <w:sz w:val="20"/>
                <w:szCs w:val="20"/>
              </w:rPr>
              <w:t xml:space="preserve">双星水池柜</w:t>
            </w: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tcPr>
          <w:p>
            <w:pPr>
              <w:rPr>
                <w:rFonts w:hint="eastAsia"/>
                <w:sz w:val="20"/>
                <w:szCs w:val="20"/>
              </w:rPr>
            </w:pPr>
            <w:r>
              <w:rPr>
                <w:rFonts w:hint="eastAsia"/>
                <w:sz w:val="20"/>
                <w:szCs w:val="20"/>
              </w:rPr>
              <w:t xml:space="preserve">1200*760*800+100</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台面:采用SUS304 ≥1.5mm不锈钢板</w:t>
            </w:r>
            <w:r>
              <w:rPr>
                <w:rFonts w:hint="eastAsia"/>
                <w:sz w:val="20"/>
                <w:szCs w:val="20"/>
              </w:rPr>
              <w:br/>
              <w:t xml:space="preserve">槽身:采用SUS304 ≥1.5mm不锈钢板</w:t>
            </w:r>
            <w:r>
              <w:rPr>
                <w:rFonts w:hint="eastAsia"/>
                <w:sz w:val="20"/>
                <w:szCs w:val="20"/>
              </w:rPr>
              <w:br/>
              <w:t xml:space="preserve">脚架：采用SUS304 </w:t>
            </w:r>
            <w:r>
              <w:rPr>
                <w:rFonts w:ascii="Calibri" w:hAnsi="Calibri" w:cs="Calibri"/>
                <w:sz w:val="20"/>
                <w:szCs w:val="20"/>
              </w:rPr>
              <w:t xml:space="preserve">φ</w:t>
            </w:r>
            <w:r>
              <w:rPr>
                <w:rFonts w:hint="eastAsia"/>
                <w:sz w:val="20"/>
                <w:szCs w:val="20"/>
              </w:rPr>
              <w:t xml:space="preserve">38mm，厚度≥1.5mm不锈钢定形管                     </w:t>
            </w:r>
            <w:r>
              <w:rPr>
                <w:rFonts w:hint="eastAsia"/>
                <w:sz w:val="20"/>
                <w:szCs w:val="20"/>
              </w:rPr>
              <w:br/>
              <w:t xml:space="preserve">横档：采用SUS304 </w:t>
            </w:r>
            <w:r>
              <w:rPr>
                <w:rFonts w:ascii="Calibri" w:hAnsi="Calibri" w:cs="Calibri"/>
                <w:sz w:val="20"/>
                <w:szCs w:val="20"/>
              </w:rPr>
              <w:t xml:space="preserve">ф</w:t>
            </w:r>
            <w:r>
              <w:rPr>
                <w:rFonts w:hint="eastAsia"/>
                <w:sz w:val="20"/>
                <w:szCs w:val="20"/>
              </w:rPr>
              <w:t xml:space="preserve">25mm，厚度≥1.2mm不锈钢定形管</w:t>
            </w:r>
            <w:r>
              <w:rPr>
                <w:rFonts w:hint="eastAsia"/>
                <w:sz w:val="20"/>
                <w:szCs w:val="20"/>
              </w:rPr>
              <w:br/>
              <w:t xml:space="preserve">配SUS304 不锈钢调节子弹脚</w:t>
            </w:r>
            <w:r/>
          </w:p>
        </w:tc>
        <w:tc>
          <w:tcPr>
            <w:tcBorders>
              <w:top w:val="none" w:color="000000" w:sz="4" w:space="0"/>
              <w:left w:val="none" w:color="000000" w:sz="4" w:space="0"/>
              <w:bottom w:val="single" w:color="000000" w:sz="4" w:space="0"/>
              <w:right w:val="single" w:color="000000"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000000" w:sz="4" w:space="0"/>
              <w:right w:val="single" w:color="000000" w:sz="4" w:space="0"/>
            </w:tcBorders>
            <w:tcW w:w="631" w:type="dxa"/>
            <w:vAlign w:val="center"/>
            <w:textDirection w:val="lrTb"/>
            <w:noWrap/>
          </w:tcPr>
          <w:p>
            <w:pPr>
              <w:jc w:val="center"/>
              <w:rPr>
                <w:rFonts w:hint="eastAsia"/>
                <w:sz w:val="20"/>
                <w:szCs w:val="20"/>
              </w:rPr>
            </w:pPr>
            <w:r>
              <w:rPr>
                <w:rFonts w:hint="eastAsia"/>
                <w:sz w:val="20"/>
                <w:szCs w:val="20"/>
              </w:rPr>
              <w:t xml:space="preserve">3</w:t>
            </w:r>
            <w:r/>
          </w:p>
        </w:tc>
        <w:tc>
          <w:tcPr>
            <w:tcBorders>
              <w:top w:val="none" w:color="000000" w:sz="4" w:space="0"/>
              <w:left w:val="none" w:color="000000" w:sz="4" w:space="0"/>
              <w:bottom w:val="single" w:color="000000" w:sz="4" w:space="0"/>
              <w:right w:val="single" w:color="000000" w:sz="4" w:space="0"/>
            </w:tcBorders>
            <w:tcW w:w="1630"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51</w:t>
            </w:r>
            <w:r/>
          </w:p>
        </w:tc>
        <w:tc>
          <w:tcPr>
            <w:tcBorders>
              <w:top w:val="none" w:color="000000" w:sz="4" w:space="0"/>
              <w:left w:val="none" w:color="000000" w:sz="4" w:space="0"/>
              <w:bottom w:val="single" w:color="000000" w:sz="4" w:space="0"/>
              <w:right w:val="single" w:color="000000" w:sz="4" w:space="0"/>
            </w:tcBorders>
            <w:tcW w:w="1637" w:type="dxa"/>
            <w:vAlign w:val="center"/>
            <w:textDirection w:val="lrTb"/>
            <w:noWrap/>
          </w:tcPr>
          <w:p>
            <w:pPr>
              <w:rPr>
                <w:rFonts w:hint="eastAsia"/>
                <w:sz w:val="20"/>
                <w:szCs w:val="20"/>
              </w:rPr>
            </w:pPr>
            <w:r>
              <w:rPr>
                <w:rFonts w:hint="eastAsia"/>
                <w:sz w:val="20"/>
                <w:szCs w:val="20"/>
              </w:rPr>
              <w:t xml:space="preserve">三星盆水池</w:t>
            </w: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tcPr>
          <w:p>
            <w:pPr>
              <w:rPr>
                <w:rFonts w:hint="eastAsia"/>
                <w:sz w:val="20"/>
                <w:szCs w:val="20"/>
              </w:rPr>
            </w:pPr>
            <w:r>
              <w:rPr>
                <w:rFonts w:hint="eastAsia"/>
                <w:sz w:val="20"/>
                <w:szCs w:val="20"/>
              </w:rPr>
              <w:t xml:space="preserve">1650*760*800+100</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台面:采用SUS304 ≥1.5mm不锈钢板</w:t>
            </w:r>
            <w:r>
              <w:rPr>
                <w:rFonts w:hint="eastAsia"/>
                <w:sz w:val="20"/>
                <w:szCs w:val="20"/>
              </w:rPr>
              <w:br/>
              <w:t xml:space="preserve">槽身:采用SUS304 ≥1.5mm不锈钢板</w:t>
            </w:r>
            <w:r>
              <w:rPr>
                <w:rFonts w:hint="eastAsia"/>
                <w:sz w:val="20"/>
                <w:szCs w:val="20"/>
              </w:rPr>
              <w:br/>
              <w:t xml:space="preserve">脚架：采用SUS304 </w:t>
            </w:r>
            <w:r>
              <w:rPr>
                <w:rFonts w:ascii="Calibri" w:hAnsi="Calibri" w:cs="Calibri"/>
                <w:sz w:val="20"/>
                <w:szCs w:val="20"/>
              </w:rPr>
              <w:t xml:space="preserve">φ</w:t>
            </w:r>
            <w:r>
              <w:rPr>
                <w:rFonts w:hint="eastAsia"/>
                <w:sz w:val="20"/>
                <w:szCs w:val="20"/>
              </w:rPr>
              <w:t xml:space="preserve">38mm，厚度≥1.5mm不锈钢定形管                     </w:t>
            </w:r>
            <w:r>
              <w:rPr>
                <w:rFonts w:hint="eastAsia"/>
                <w:sz w:val="20"/>
                <w:szCs w:val="20"/>
              </w:rPr>
              <w:br/>
              <w:t xml:space="preserve">横档：采用SUS304 </w:t>
            </w:r>
            <w:r>
              <w:rPr>
                <w:rFonts w:ascii="Calibri" w:hAnsi="Calibri" w:cs="Calibri"/>
                <w:sz w:val="20"/>
                <w:szCs w:val="20"/>
              </w:rPr>
              <w:t xml:space="preserve">ф</w:t>
            </w:r>
            <w:r>
              <w:rPr>
                <w:rFonts w:hint="eastAsia"/>
                <w:sz w:val="20"/>
                <w:szCs w:val="20"/>
              </w:rPr>
              <w:t xml:space="preserve">25mm，厚度≥1.2mm不锈钢定形管</w:t>
            </w:r>
            <w:r>
              <w:rPr>
                <w:rFonts w:hint="eastAsia"/>
                <w:sz w:val="20"/>
                <w:szCs w:val="20"/>
              </w:rPr>
              <w:br/>
              <w:t xml:space="preserve">配SUS304 不锈钢调节子弹脚</w:t>
            </w:r>
            <w:r/>
          </w:p>
        </w:tc>
        <w:tc>
          <w:tcPr>
            <w:tcBorders>
              <w:top w:val="none" w:color="000000" w:sz="4" w:space="0"/>
              <w:left w:val="none" w:color="000000" w:sz="4" w:space="0"/>
              <w:bottom w:val="single" w:color="000000" w:sz="4" w:space="0"/>
              <w:right w:val="single" w:color="000000"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000000" w:sz="4" w:space="0"/>
              <w:right w:val="single" w:color="000000" w:sz="4" w:space="0"/>
            </w:tcBorders>
            <w:tcW w:w="631" w:type="dxa"/>
            <w:vAlign w:val="center"/>
            <w:textDirection w:val="lrTb"/>
            <w:noWrap/>
          </w:tcPr>
          <w:p>
            <w:pPr>
              <w:jc w:val="center"/>
              <w:rPr>
                <w:rFonts w:hint="eastAsia"/>
                <w:sz w:val="20"/>
                <w:szCs w:val="20"/>
              </w:rPr>
            </w:pPr>
            <w:r>
              <w:rPr>
                <w:rFonts w:hint="eastAsia"/>
                <w:sz w:val="20"/>
                <w:szCs w:val="20"/>
              </w:rPr>
              <w:t xml:space="preserve">1</w:t>
            </w:r>
            <w:r/>
          </w:p>
        </w:tc>
        <w:tc>
          <w:tcPr>
            <w:tcBorders>
              <w:top w:val="none" w:color="000000" w:sz="4" w:space="0"/>
              <w:left w:val="none" w:color="000000" w:sz="4" w:space="0"/>
              <w:bottom w:val="single" w:color="000000" w:sz="4" w:space="0"/>
              <w:right w:val="single" w:color="000000" w:sz="4" w:space="0"/>
            </w:tcBorders>
            <w:tcW w:w="1630"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52</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单孔污碟台1</w:t>
            </w: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tcPr>
          <w:p>
            <w:pPr>
              <w:rPr>
                <w:rFonts w:hint="eastAsia"/>
                <w:sz w:val="20"/>
                <w:szCs w:val="20"/>
              </w:rPr>
            </w:pPr>
            <w:r>
              <w:rPr>
                <w:rFonts w:hint="eastAsia"/>
                <w:sz w:val="20"/>
                <w:szCs w:val="20"/>
              </w:rPr>
              <w:t xml:space="preserve">1000*760*800+100</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台面:采用SUS304 ≥1.5mm不锈钢板</w:t>
            </w:r>
            <w:r>
              <w:rPr>
                <w:rFonts w:hint="eastAsia"/>
                <w:sz w:val="20"/>
                <w:szCs w:val="20"/>
              </w:rPr>
              <w:br/>
              <w:t xml:space="preserve">槽身:采用SUS304 ≥1.5mm不锈钢板</w:t>
            </w:r>
            <w:r>
              <w:rPr>
                <w:rFonts w:hint="eastAsia"/>
                <w:sz w:val="20"/>
                <w:szCs w:val="20"/>
              </w:rPr>
              <w:br/>
              <w:t xml:space="preserve">脚架：采用SUS304 </w:t>
            </w:r>
            <w:r>
              <w:rPr>
                <w:rFonts w:ascii="Calibri" w:hAnsi="Calibri" w:cs="Calibri"/>
                <w:sz w:val="20"/>
                <w:szCs w:val="20"/>
              </w:rPr>
              <w:t xml:space="preserve">φ</w:t>
            </w:r>
            <w:r>
              <w:rPr>
                <w:rFonts w:hint="eastAsia"/>
                <w:sz w:val="20"/>
                <w:szCs w:val="20"/>
              </w:rPr>
              <w:t xml:space="preserve">38mm，厚度≥1.5mm不锈钢定形管                     </w:t>
            </w:r>
            <w:r>
              <w:rPr>
                <w:rFonts w:hint="eastAsia"/>
                <w:sz w:val="20"/>
                <w:szCs w:val="20"/>
              </w:rPr>
              <w:br/>
              <w:t xml:space="preserve">横档：采用SUS304 </w:t>
            </w:r>
            <w:r>
              <w:rPr>
                <w:rFonts w:ascii="Calibri" w:hAnsi="Calibri" w:cs="Calibri"/>
                <w:sz w:val="20"/>
                <w:szCs w:val="20"/>
              </w:rPr>
              <w:t xml:space="preserve">ф</w:t>
            </w:r>
            <w:r>
              <w:rPr>
                <w:rFonts w:hint="eastAsia"/>
                <w:sz w:val="20"/>
                <w:szCs w:val="20"/>
              </w:rPr>
              <w:t xml:space="preserve">25mm，厚度≥1.2mm不锈钢定形管</w:t>
            </w:r>
            <w:r>
              <w:rPr>
                <w:rFonts w:hint="eastAsia"/>
                <w:sz w:val="20"/>
                <w:szCs w:val="20"/>
              </w:rPr>
              <w:br/>
              <w:t xml:space="preserve">配SUS304 不锈钢调节子弹脚</w:t>
            </w:r>
            <w:r/>
          </w:p>
        </w:tc>
        <w:tc>
          <w:tcPr>
            <w:tcBorders>
              <w:top w:val="none" w:color="000000" w:sz="4" w:space="0"/>
              <w:left w:val="none" w:color="000000" w:sz="4" w:space="0"/>
              <w:bottom w:val="single" w:color="000000" w:sz="4" w:space="0"/>
              <w:right w:val="single" w:color="000000"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000000" w:sz="4" w:space="0"/>
              <w:right w:val="single" w:color="000000" w:sz="4" w:space="0"/>
            </w:tcBorders>
            <w:tcW w:w="631" w:type="dxa"/>
            <w:vAlign w:val="center"/>
            <w:textDirection w:val="lrTb"/>
            <w:noWrap/>
          </w:tcPr>
          <w:p>
            <w:pPr>
              <w:jc w:val="center"/>
              <w:rPr>
                <w:rFonts w:hint="eastAsia"/>
                <w:sz w:val="20"/>
                <w:szCs w:val="20"/>
              </w:rPr>
            </w:pPr>
            <w:r>
              <w:rPr>
                <w:rFonts w:hint="eastAsia"/>
                <w:sz w:val="20"/>
                <w:szCs w:val="20"/>
              </w:rPr>
              <w:t xml:space="preserve">1</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53</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单孔污碟台2</w:t>
            </w: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tcPr>
          <w:p>
            <w:pPr>
              <w:rPr>
                <w:rFonts w:hint="eastAsia"/>
                <w:sz w:val="20"/>
                <w:szCs w:val="20"/>
              </w:rPr>
            </w:pPr>
            <w:r>
              <w:rPr>
                <w:rFonts w:hint="eastAsia"/>
                <w:sz w:val="20"/>
                <w:szCs w:val="20"/>
              </w:rPr>
              <w:t xml:space="preserve">1200*500*880</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台面:采用SUS304 ≥1.5mm不锈钢板</w:t>
            </w:r>
            <w:r>
              <w:rPr>
                <w:rFonts w:hint="eastAsia"/>
                <w:sz w:val="20"/>
                <w:szCs w:val="20"/>
              </w:rPr>
              <w:br/>
              <w:t xml:space="preserve">槽身:采用SUS304 ≥1.5mm不锈钢板</w:t>
            </w:r>
            <w:r>
              <w:rPr>
                <w:rFonts w:hint="eastAsia"/>
                <w:sz w:val="20"/>
                <w:szCs w:val="20"/>
              </w:rPr>
              <w:br/>
              <w:t xml:space="preserve">脚架：采用SUS304 </w:t>
            </w:r>
            <w:r>
              <w:rPr>
                <w:rFonts w:ascii="Calibri" w:hAnsi="Calibri" w:cs="Calibri"/>
                <w:sz w:val="20"/>
                <w:szCs w:val="20"/>
              </w:rPr>
              <w:t xml:space="preserve">φ</w:t>
            </w:r>
            <w:r>
              <w:rPr>
                <w:rFonts w:hint="eastAsia"/>
                <w:sz w:val="20"/>
                <w:szCs w:val="20"/>
              </w:rPr>
              <w:t xml:space="preserve">38mm，厚度≥1.5mm不锈钢定形管                     </w:t>
            </w:r>
            <w:r>
              <w:rPr>
                <w:rFonts w:hint="eastAsia"/>
                <w:sz w:val="20"/>
                <w:szCs w:val="20"/>
              </w:rPr>
              <w:br/>
              <w:t xml:space="preserve">横档：采用SUS304 </w:t>
            </w:r>
            <w:r>
              <w:rPr>
                <w:rFonts w:ascii="Calibri" w:hAnsi="Calibri" w:cs="Calibri"/>
                <w:sz w:val="20"/>
                <w:szCs w:val="20"/>
              </w:rPr>
              <w:t xml:space="preserve">ф</w:t>
            </w:r>
            <w:r>
              <w:rPr>
                <w:rFonts w:hint="eastAsia"/>
                <w:sz w:val="20"/>
                <w:szCs w:val="20"/>
              </w:rPr>
              <w:t xml:space="preserve">25mm，厚度≥1.2mm不锈钢定形管</w:t>
            </w:r>
            <w:r>
              <w:rPr>
                <w:rFonts w:hint="eastAsia"/>
                <w:sz w:val="20"/>
                <w:szCs w:val="20"/>
              </w:rPr>
              <w:br/>
              <w:t xml:space="preserve">配SUS304 不锈钢调节子弹脚</w:t>
            </w:r>
            <w:r/>
          </w:p>
        </w:tc>
        <w:tc>
          <w:tcPr>
            <w:tcBorders>
              <w:top w:val="none" w:color="000000" w:sz="4" w:space="0"/>
              <w:left w:val="none" w:color="000000" w:sz="4" w:space="0"/>
              <w:bottom w:val="single" w:color="000000" w:sz="4" w:space="0"/>
              <w:right w:val="single" w:color="000000"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000000" w:sz="4" w:space="0"/>
              <w:right w:val="single" w:color="000000" w:sz="4" w:space="0"/>
            </w:tcBorders>
            <w:tcW w:w="631" w:type="dxa"/>
            <w:vAlign w:val="center"/>
            <w:textDirection w:val="lrTb"/>
            <w:noWrap/>
          </w:tcPr>
          <w:p>
            <w:pPr>
              <w:jc w:val="center"/>
              <w:rPr>
                <w:rFonts w:hint="eastAsia"/>
                <w:sz w:val="20"/>
                <w:szCs w:val="20"/>
              </w:rPr>
            </w:pPr>
            <w:r>
              <w:rPr>
                <w:rFonts w:hint="eastAsia"/>
                <w:sz w:val="20"/>
                <w:szCs w:val="20"/>
              </w:rPr>
              <w:t xml:space="preserve">2</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54</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单孔污碟台3</w:t>
            </w: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tcPr>
          <w:p>
            <w:pPr>
              <w:rPr>
                <w:rFonts w:hint="eastAsia"/>
                <w:sz w:val="20"/>
                <w:szCs w:val="20"/>
              </w:rPr>
            </w:pPr>
            <w:r>
              <w:rPr>
                <w:rFonts w:hint="eastAsia"/>
                <w:sz w:val="20"/>
                <w:szCs w:val="20"/>
              </w:rPr>
              <w:t xml:space="preserve">800*760*800+100</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台面:采用SUS304 ≥1.5mm不锈钢板</w:t>
            </w:r>
            <w:r>
              <w:rPr>
                <w:rFonts w:hint="eastAsia"/>
                <w:sz w:val="20"/>
                <w:szCs w:val="20"/>
              </w:rPr>
              <w:br/>
              <w:t xml:space="preserve">槽身:采用SUS304 ≥1.5mm不锈钢板</w:t>
            </w:r>
            <w:r>
              <w:rPr>
                <w:rFonts w:hint="eastAsia"/>
                <w:sz w:val="20"/>
                <w:szCs w:val="20"/>
              </w:rPr>
              <w:br/>
              <w:t xml:space="preserve">脚架：采用SUS304 </w:t>
            </w:r>
            <w:r>
              <w:rPr>
                <w:rFonts w:ascii="Calibri" w:hAnsi="Calibri" w:cs="Calibri"/>
                <w:sz w:val="20"/>
                <w:szCs w:val="20"/>
              </w:rPr>
              <w:t xml:space="preserve">φ</w:t>
            </w:r>
            <w:r>
              <w:rPr>
                <w:rFonts w:hint="eastAsia"/>
                <w:sz w:val="20"/>
                <w:szCs w:val="20"/>
              </w:rPr>
              <w:t xml:space="preserve">38mm，厚度≥1.5mm不锈钢定形管                     </w:t>
            </w:r>
            <w:r>
              <w:rPr>
                <w:rFonts w:hint="eastAsia"/>
                <w:sz w:val="20"/>
                <w:szCs w:val="20"/>
              </w:rPr>
              <w:br/>
              <w:t xml:space="preserve">横档：采用SUS304 </w:t>
            </w:r>
            <w:r>
              <w:rPr>
                <w:rFonts w:ascii="Calibri" w:hAnsi="Calibri" w:cs="Calibri"/>
                <w:sz w:val="20"/>
                <w:szCs w:val="20"/>
              </w:rPr>
              <w:t xml:space="preserve">ф</w:t>
            </w:r>
            <w:r>
              <w:rPr>
                <w:rFonts w:hint="eastAsia"/>
                <w:sz w:val="20"/>
                <w:szCs w:val="20"/>
              </w:rPr>
              <w:t xml:space="preserve">25mm，厚度≥1.2mm不锈钢定形管</w:t>
            </w:r>
            <w:r>
              <w:rPr>
                <w:rFonts w:hint="eastAsia"/>
                <w:sz w:val="20"/>
                <w:szCs w:val="20"/>
              </w:rPr>
              <w:br/>
              <w:t xml:space="preserve">配SUS304 不锈钢调节子弹脚</w:t>
            </w:r>
            <w:r/>
          </w:p>
        </w:tc>
        <w:tc>
          <w:tcPr>
            <w:tcBorders>
              <w:top w:val="none" w:color="000000" w:sz="4" w:space="0"/>
              <w:left w:val="none" w:color="000000" w:sz="4" w:space="0"/>
              <w:bottom w:val="single" w:color="000000" w:sz="4" w:space="0"/>
              <w:right w:val="single" w:color="000000"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000000" w:sz="4" w:space="0"/>
              <w:right w:val="single" w:color="000000" w:sz="4" w:space="0"/>
            </w:tcBorders>
            <w:tcW w:w="631" w:type="dxa"/>
            <w:vAlign w:val="center"/>
            <w:textDirection w:val="lrTb"/>
            <w:noWrap/>
          </w:tcPr>
          <w:p>
            <w:pPr>
              <w:jc w:val="center"/>
              <w:rPr>
                <w:rFonts w:hint="eastAsia"/>
                <w:sz w:val="20"/>
                <w:szCs w:val="20"/>
              </w:rPr>
            </w:pPr>
            <w:r>
              <w:rPr>
                <w:rFonts w:hint="eastAsia"/>
                <w:sz w:val="20"/>
                <w:szCs w:val="20"/>
              </w:rPr>
              <w:t xml:space="preserve">1</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55</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单孔污碟台柜</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1200*760*800</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台面:采用SUS304 ≥1.5mm不锈钢板</w:t>
            </w:r>
            <w:r>
              <w:rPr>
                <w:rFonts w:hint="eastAsia"/>
                <w:sz w:val="20"/>
                <w:szCs w:val="20"/>
              </w:rPr>
              <w:br/>
              <w:t xml:space="preserve">槽身:采用SUS304 ≥1.5mm不锈钢板</w:t>
            </w:r>
            <w:r>
              <w:rPr>
                <w:rFonts w:hint="eastAsia"/>
                <w:sz w:val="20"/>
                <w:szCs w:val="20"/>
              </w:rPr>
              <w:br/>
              <w:t xml:space="preserve">脚架：采用SUS304 </w:t>
            </w:r>
            <w:r>
              <w:rPr>
                <w:rFonts w:ascii="Calibri" w:hAnsi="Calibri" w:cs="Calibri"/>
                <w:sz w:val="20"/>
                <w:szCs w:val="20"/>
              </w:rPr>
              <w:t xml:space="preserve">φ</w:t>
            </w:r>
            <w:r>
              <w:rPr>
                <w:rFonts w:hint="eastAsia"/>
                <w:sz w:val="20"/>
                <w:szCs w:val="20"/>
              </w:rPr>
              <w:t xml:space="preserve">38mm，厚度≥1.5mm不锈钢定形管                     </w:t>
            </w:r>
            <w:r>
              <w:rPr>
                <w:rFonts w:hint="eastAsia"/>
                <w:sz w:val="20"/>
                <w:szCs w:val="20"/>
              </w:rPr>
              <w:br/>
              <w:t xml:space="preserve">横档：采用SUS304 </w:t>
            </w:r>
            <w:r>
              <w:rPr>
                <w:rFonts w:ascii="Calibri" w:hAnsi="Calibri" w:cs="Calibri"/>
                <w:sz w:val="20"/>
                <w:szCs w:val="20"/>
              </w:rPr>
              <w:t xml:space="preserve">ф</w:t>
            </w:r>
            <w:r>
              <w:rPr>
                <w:rFonts w:hint="eastAsia"/>
                <w:sz w:val="20"/>
                <w:szCs w:val="20"/>
              </w:rPr>
              <w:t xml:space="preserve">25mm，厚度≥1.2mm不锈钢定形管</w:t>
            </w:r>
            <w:r>
              <w:rPr>
                <w:rFonts w:hint="eastAsia"/>
                <w:sz w:val="20"/>
                <w:szCs w:val="20"/>
              </w:rPr>
              <w:br/>
              <w:t xml:space="preserve">配SUS304 不锈钢调节子弹脚</w:t>
            </w:r>
            <w:r/>
          </w:p>
        </w:tc>
        <w:tc>
          <w:tcPr>
            <w:tcBorders>
              <w:top w:val="none" w:color="000000" w:sz="4" w:space="0"/>
              <w:left w:val="none" w:color="000000" w:sz="4" w:space="0"/>
              <w:bottom w:val="single" w:color="auto" w:sz="4" w:space="0"/>
              <w:right w:val="single" w:color="auto"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31" w:type="dxa"/>
            <w:vAlign w:val="center"/>
            <w:textDirection w:val="lrTb"/>
            <w:noWrap/>
          </w:tcPr>
          <w:p>
            <w:pPr>
              <w:jc w:val="center"/>
              <w:rPr>
                <w:rFonts w:hint="eastAsia"/>
                <w:sz w:val="20"/>
                <w:szCs w:val="20"/>
              </w:rPr>
            </w:pPr>
            <w:r>
              <w:rPr>
                <w:rFonts w:hint="eastAsia"/>
                <w:sz w:val="20"/>
                <w:szCs w:val="20"/>
              </w:rPr>
              <w:t xml:space="preserve">6</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56</w:t>
            </w:r>
            <w:r/>
          </w:p>
        </w:tc>
        <w:tc>
          <w:tcPr>
            <w:tcBorders>
              <w:top w:val="none" w:color="000000" w:sz="4" w:space="0"/>
              <w:left w:val="none" w:color="000000" w:sz="4" w:space="0"/>
              <w:bottom w:val="single" w:color="000000" w:sz="4" w:space="0"/>
              <w:right w:val="single" w:color="000000" w:sz="4" w:space="0"/>
            </w:tcBorders>
            <w:tcW w:w="1637" w:type="dxa"/>
            <w:vAlign w:val="center"/>
            <w:textDirection w:val="lrTb"/>
            <w:noWrap/>
          </w:tcPr>
          <w:p>
            <w:pPr>
              <w:rPr>
                <w:rFonts w:hint="eastAsia"/>
                <w:sz w:val="20"/>
                <w:szCs w:val="20"/>
              </w:rPr>
            </w:pPr>
            <w:r>
              <w:rPr>
                <w:rFonts w:hint="eastAsia"/>
                <w:sz w:val="20"/>
                <w:szCs w:val="20"/>
              </w:rPr>
              <w:t xml:space="preserve">双孔污碟台</w:t>
            </w: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tcPr>
          <w:p>
            <w:pPr>
              <w:rPr>
                <w:rFonts w:hint="eastAsia"/>
                <w:sz w:val="20"/>
                <w:szCs w:val="20"/>
              </w:rPr>
            </w:pPr>
            <w:r>
              <w:rPr>
                <w:rFonts w:hint="eastAsia"/>
                <w:sz w:val="20"/>
                <w:szCs w:val="20"/>
              </w:rPr>
              <w:t xml:space="preserve">1000*800*880</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台面:采用SUS304 ≥1.5mm不锈钢板</w:t>
            </w:r>
            <w:r>
              <w:rPr>
                <w:rFonts w:hint="eastAsia"/>
                <w:sz w:val="20"/>
                <w:szCs w:val="20"/>
              </w:rPr>
              <w:br/>
              <w:t xml:space="preserve">槽身:采用SUS304 ≥1.5mm不锈钢板</w:t>
            </w:r>
            <w:r>
              <w:rPr>
                <w:rFonts w:hint="eastAsia"/>
                <w:sz w:val="20"/>
                <w:szCs w:val="20"/>
              </w:rPr>
              <w:br/>
              <w:t xml:space="preserve">脚架：采用SUS304 </w:t>
            </w:r>
            <w:r>
              <w:rPr>
                <w:rFonts w:ascii="Calibri" w:hAnsi="Calibri" w:cs="Calibri"/>
                <w:sz w:val="20"/>
                <w:szCs w:val="20"/>
              </w:rPr>
              <w:t xml:space="preserve">φ</w:t>
            </w:r>
            <w:r>
              <w:rPr>
                <w:rFonts w:hint="eastAsia"/>
                <w:sz w:val="20"/>
                <w:szCs w:val="20"/>
              </w:rPr>
              <w:t xml:space="preserve">38mm，厚度≥1.5mm不锈钢定形管                     </w:t>
            </w:r>
            <w:r>
              <w:rPr>
                <w:rFonts w:hint="eastAsia"/>
                <w:sz w:val="20"/>
                <w:szCs w:val="20"/>
              </w:rPr>
              <w:br/>
              <w:t xml:space="preserve">横档：采用SUS304 </w:t>
            </w:r>
            <w:r>
              <w:rPr>
                <w:rFonts w:ascii="Calibri" w:hAnsi="Calibri" w:cs="Calibri"/>
                <w:sz w:val="20"/>
                <w:szCs w:val="20"/>
              </w:rPr>
              <w:t xml:space="preserve">ф</w:t>
            </w:r>
            <w:r>
              <w:rPr>
                <w:rFonts w:hint="eastAsia"/>
                <w:sz w:val="20"/>
                <w:szCs w:val="20"/>
              </w:rPr>
              <w:t xml:space="preserve">25mm，厚度≥1.2mm不锈钢定形管</w:t>
            </w:r>
            <w:r>
              <w:rPr>
                <w:rFonts w:hint="eastAsia"/>
                <w:sz w:val="20"/>
                <w:szCs w:val="20"/>
              </w:rPr>
              <w:br/>
              <w:t xml:space="preserve">配SUS304 不锈钢调节子弹脚</w:t>
            </w:r>
            <w:r/>
          </w:p>
        </w:tc>
        <w:tc>
          <w:tcPr>
            <w:tcBorders>
              <w:top w:val="none" w:color="000000" w:sz="4" w:space="0"/>
              <w:left w:val="none" w:color="000000" w:sz="4" w:space="0"/>
              <w:bottom w:val="single" w:color="000000" w:sz="4" w:space="0"/>
              <w:right w:val="single" w:color="000000"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000000" w:sz="4" w:space="0"/>
              <w:right w:val="single" w:color="000000" w:sz="4" w:space="0"/>
            </w:tcBorders>
            <w:tcW w:w="631" w:type="dxa"/>
            <w:vAlign w:val="center"/>
            <w:textDirection w:val="lrTb"/>
            <w:noWrap/>
          </w:tcPr>
          <w:p>
            <w:pPr>
              <w:jc w:val="center"/>
              <w:rPr>
                <w:rFonts w:hint="eastAsia"/>
                <w:sz w:val="20"/>
                <w:szCs w:val="20"/>
              </w:rPr>
            </w:pPr>
            <w:r>
              <w:rPr>
                <w:rFonts w:hint="eastAsia"/>
                <w:sz w:val="20"/>
                <w:szCs w:val="20"/>
              </w:rPr>
              <w:t xml:space="preserve">1</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57</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单星杀鱼台</w:t>
            </w: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tcPr>
          <w:p>
            <w:pPr>
              <w:rPr>
                <w:rFonts w:hint="eastAsia"/>
                <w:sz w:val="20"/>
                <w:szCs w:val="20"/>
              </w:rPr>
            </w:pPr>
            <w:r>
              <w:rPr>
                <w:rFonts w:hint="eastAsia"/>
                <w:sz w:val="20"/>
                <w:szCs w:val="20"/>
              </w:rPr>
              <w:t xml:space="preserve">1800*760*800+100</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台面:采用SUS304 ≥1.5mm不锈钢板</w:t>
            </w:r>
            <w:r>
              <w:rPr>
                <w:rFonts w:hint="eastAsia"/>
                <w:sz w:val="20"/>
                <w:szCs w:val="20"/>
              </w:rPr>
              <w:br/>
              <w:t xml:space="preserve">槽身:采用SUS304 ≥1.5mm不锈钢板</w:t>
            </w:r>
            <w:r>
              <w:rPr>
                <w:rFonts w:hint="eastAsia"/>
                <w:sz w:val="20"/>
                <w:szCs w:val="20"/>
              </w:rPr>
              <w:br/>
              <w:t xml:space="preserve">脚架：采用SUS304 </w:t>
            </w:r>
            <w:r>
              <w:rPr>
                <w:rFonts w:ascii="Calibri" w:hAnsi="Calibri" w:cs="Calibri"/>
                <w:sz w:val="20"/>
                <w:szCs w:val="20"/>
              </w:rPr>
              <w:t xml:space="preserve">φ</w:t>
            </w:r>
            <w:r>
              <w:rPr>
                <w:rFonts w:hint="eastAsia"/>
                <w:sz w:val="20"/>
                <w:szCs w:val="20"/>
              </w:rPr>
              <w:t xml:space="preserve">38mm，厚度≥1.5mm不锈钢定形管                     </w:t>
            </w:r>
            <w:r>
              <w:rPr>
                <w:rFonts w:hint="eastAsia"/>
                <w:sz w:val="20"/>
                <w:szCs w:val="20"/>
              </w:rPr>
              <w:br/>
              <w:t xml:space="preserve">横档：采用SUS304 </w:t>
            </w:r>
            <w:r>
              <w:rPr>
                <w:rFonts w:ascii="Calibri" w:hAnsi="Calibri" w:cs="Calibri"/>
                <w:sz w:val="20"/>
                <w:szCs w:val="20"/>
              </w:rPr>
              <w:t xml:space="preserve">ф</w:t>
            </w:r>
            <w:r>
              <w:rPr>
                <w:rFonts w:hint="eastAsia"/>
                <w:sz w:val="20"/>
                <w:szCs w:val="20"/>
              </w:rPr>
              <w:t xml:space="preserve">25mm，厚度≥1.2mm不锈钢定形管</w:t>
            </w:r>
            <w:r>
              <w:rPr>
                <w:rFonts w:hint="eastAsia"/>
                <w:sz w:val="20"/>
                <w:szCs w:val="20"/>
              </w:rPr>
              <w:br/>
              <w:t xml:space="preserve">配SUS304 不锈钢调节子弹脚</w:t>
            </w:r>
            <w:r/>
          </w:p>
        </w:tc>
        <w:tc>
          <w:tcPr>
            <w:tcBorders>
              <w:top w:val="none" w:color="000000" w:sz="4" w:space="0"/>
              <w:left w:val="none" w:color="000000" w:sz="4" w:space="0"/>
              <w:bottom w:val="single" w:color="000000" w:sz="4" w:space="0"/>
              <w:right w:val="single" w:color="000000"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000000" w:sz="4" w:space="0"/>
              <w:right w:val="single" w:color="000000" w:sz="4" w:space="0"/>
            </w:tcBorders>
            <w:tcW w:w="631" w:type="dxa"/>
            <w:vAlign w:val="center"/>
            <w:textDirection w:val="lrTb"/>
            <w:noWrap/>
          </w:tcPr>
          <w:p>
            <w:pPr>
              <w:jc w:val="center"/>
              <w:rPr>
                <w:rFonts w:hint="eastAsia"/>
                <w:sz w:val="20"/>
                <w:szCs w:val="20"/>
              </w:rPr>
            </w:pPr>
            <w:r>
              <w:rPr>
                <w:rFonts w:hint="eastAsia"/>
                <w:sz w:val="20"/>
                <w:szCs w:val="20"/>
              </w:rPr>
              <w:t xml:space="preserve">2</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b/>
                <w:bCs/>
                <w:sz w:val="20"/>
                <w:szCs w:val="20"/>
              </w:rPr>
            </w:pPr>
            <w:r>
              <w:rPr>
                <w:rFonts w:hint="eastAsia"/>
                <w:b/>
                <w:bCs/>
                <w:sz w:val="20"/>
                <w:szCs w:val="20"/>
              </w:rPr>
              <w:t xml:space="preserve">四</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b/>
                <w:bCs/>
                <w:sz w:val="20"/>
                <w:szCs w:val="20"/>
              </w:rPr>
            </w:pPr>
            <w:r>
              <w:rPr>
                <w:rFonts w:hint="eastAsia"/>
                <w:b/>
                <w:bCs/>
                <w:sz w:val="20"/>
                <w:szCs w:val="20"/>
              </w:rPr>
              <w:t xml:space="preserve">燃气及厨房用具</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680"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631"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rPr>
            </w:pPr>
            <w:r>
              <w:rPr>
                <w:rFonts w:hint="eastAsia"/>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58</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单门蒸饭柜</w:t>
            </w: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tcPr>
          <w:p>
            <w:pPr>
              <w:rPr>
                <w:rFonts w:hint="eastAsia"/>
                <w:sz w:val="20"/>
                <w:szCs w:val="20"/>
              </w:rPr>
            </w:pPr>
            <w:r>
              <w:rPr>
                <w:rFonts w:hint="eastAsia"/>
                <w:sz w:val="20"/>
                <w:szCs w:val="20"/>
              </w:rPr>
              <w:t xml:space="preserve">700*850*1800</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1、柜体：采用SUS304≥1.5mm不锈钢板；                  </w:t>
            </w:r>
            <w:r>
              <w:rPr>
                <w:rFonts w:hint="eastAsia"/>
                <w:sz w:val="20"/>
                <w:szCs w:val="20"/>
              </w:rPr>
              <w:br/>
              <w:t xml:space="preserve">2、侧板：采用SUS304≥1.2mm不锈钢板；</w:t>
            </w:r>
            <w:r>
              <w:rPr>
                <w:rFonts w:hint="eastAsia"/>
                <w:sz w:val="20"/>
                <w:szCs w:val="20"/>
              </w:rPr>
              <w:br/>
              <w:t xml:space="preserve">3、内胆：采用SUS304≥1.5mm不锈钢板，横卧式放置；</w:t>
            </w:r>
            <w:r>
              <w:rPr>
                <w:rFonts w:hint="eastAsia"/>
                <w:sz w:val="20"/>
                <w:szCs w:val="20"/>
              </w:rPr>
              <w:br/>
              <w:t xml:space="preserve">4、智能操作：一键式按钮启动，配水垢清洗装置；</w:t>
            </w:r>
            <w:r>
              <w:rPr>
                <w:rFonts w:hint="eastAsia"/>
                <w:sz w:val="20"/>
                <w:szCs w:val="20"/>
              </w:rPr>
              <w:br/>
              <w:t xml:space="preserve">5、风机功率：≥120W ；</w:t>
            </w:r>
            <w:r>
              <w:rPr>
                <w:rFonts w:hint="eastAsia"/>
                <w:sz w:val="20"/>
                <w:szCs w:val="20"/>
              </w:rPr>
              <w:br/>
              <w:t xml:space="preserve">6、控制系统：自动脉冲电子点火、离子火焰监控、双向电磁阀、带缺水、过热、过压及熄火保护装置；</w:t>
            </w:r>
            <w:r>
              <w:rPr>
                <w:rFonts w:hint="eastAsia"/>
                <w:sz w:val="20"/>
                <w:szCs w:val="20"/>
              </w:rPr>
              <w:br/>
              <w:t xml:space="preserve">7、环保排放：排气烟管温度低于65℃；</w:t>
            </w:r>
            <w:r>
              <w:rPr>
                <w:rFonts w:hint="eastAsia"/>
                <w:sz w:val="20"/>
                <w:szCs w:val="20"/>
              </w:rPr>
              <w:br/>
              <w:t xml:space="preserve">8、高效快速：90-120秒内上蒸汽。</w:t>
            </w:r>
            <w:r>
              <w:rPr>
                <w:rFonts w:hint="eastAsia"/>
                <w:sz w:val="20"/>
                <w:szCs w:val="20"/>
              </w:rPr>
              <w:br/>
              <w:t xml:space="preserve">9、配相应尺寸蒸饭盘12只。</w:t>
            </w:r>
            <w:r/>
          </w:p>
        </w:tc>
        <w:tc>
          <w:tcPr>
            <w:tcBorders>
              <w:top w:val="none" w:color="000000" w:sz="4" w:space="0"/>
              <w:left w:val="none" w:color="000000" w:sz="4" w:space="0"/>
              <w:bottom w:val="single" w:color="000000" w:sz="4" w:space="0"/>
              <w:right w:val="single" w:color="000000"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000000" w:sz="4" w:space="0"/>
              <w:right w:val="single" w:color="000000" w:sz="4" w:space="0"/>
            </w:tcBorders>
            <w:tcW w:w="631" w:type="dxa"/>
            <w:vAlign w:val="center"/>
            <w:textDirection w:val="lrTb"/>
            <w:noWrap/>
          </w:tcPr>
          <w:p>
            <w:pPr>
              <w:jc w:val="center"/>
              <w:rPr>
                <w:rFonts w:hint="eastAsia"/>
                <w:sz w:val="20"/>
                <w:szCs w:val="20"/>
              </w:rPr>
            </w:pPr>
            <w:r>
              <w:rPr>
                <w:rFonts w:hint="eastAsia"/>
                <w:sz w:val="20"/>
                <w:szCs w:val="20"/>
              </w:rPr>
              <w:t xml:space="preserve">6</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rPr>
            </w:pPr>
            <w:r>
              <w:rPr>
                <w:rFonts w:hint="eastAsia"/>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59</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双门蒸饭柜</w:t>
            </w: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tcPr>
          <w:p>
            <w:pPr>
              <w:rPr>
                <w:rFonts w:hint="eastAsia"/>
                <w:sz w:val="20"/>
                <w:szCs w:val="20"/>
              </w:rPr>
            </w:pPr>
            <w:r>
              <w:rPr>
                <w:rFonts w:hint="eastAsia"/>
                <w:sz w:val="20"/>
                <w:szCs w:val="20"/>
              </w:rPr>
              <w:t xml:space="preserve">1200*850*1800</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1、柜体：采用SUS304≥1.5mm不锈钢板；</w:t>
            </w:r>
            <w:r>
              <w:rPr>
                <w:rFonts w:hint="eastAsia"/>
                <w:sz w:val="20"/>
                <w:szCs w:val="20"/>
              </w:rPr>
              <w:br/>
              <w:t xml:space="preserve">2、侧板：采用SUS304≥1.2mm不锈钢板；</w:t>
            </w:r>
            <w:r>
              <w:rPr>
                <w:rFonts w:hint="eastAsia"/>
                <w:sz w:val="20"/>
                <w:szCs w:val="20"/>
              </w:rPr>
              <w:br/>
              <w:t xml:space="preserve">3、内胆：采用SUS304≥1.5mm不锈钢板；</w:t>
            </w:r>
            <w:r>
              <w:rPr>
                <w:rFonts w:hint="eastAsia"/>
                <w:sz w:val="20"/>
                <w:szCs w:val="20"/>
              </w:rPr>
              <w:br/>
              <w:t xml:space="preserve">4、炉头：采用节能环保炉头；</w:t>
            </w:r>
            <w:r>
              <w:rPr>
                <w:rFonts w:hint="eastAsia"/>
                <w:sz w:val="20"/>
                <w:szCs w:val="20"/>
              </w:rPr>
              <w:br/>
              <w:t xml:space="preserve">5、智能操作： 单键按钮启动；</w:t>
            </w:r>
            <w:r>
              <w:rPr>
                <w:rFonts w:hint="eastAsia"/>
                <w:sz w:val="20"/>
                <w:szCs w:val="20"/>
              </w:rPr>
              <w:br/>
              <w:t xml:space="preserve">6、风机功率：≥120W；</w:t>
            </w:r>
            <w:r>
              <w:rPr>
                <w:rFonts w:hint="eastAsia"/>
                <w:sz w:val="20"/>
                <w:szCs w:val="20"/>
              </w:rPr>
              <w:br/>
              <w:t xml:space="preserve">7、控制系统：自动脉冲电子点火、离子火焰监控、双向电磁阀、带缺水、过热、过压及熄火保护装置；</w:t>
            </w:r>
            <w:r>
              <w:rPr>
                <w:rFonts w:hint="eastAsia"/>
                <w:sz w:val="20"/>
                <w:szCs w:val="20"/>
              </w:rPr>
              <w:br/>
              <w:t xml:space="preserve">8、环保排放：排气烟管温度低于65℃；                       </w:t>
            </w:r>
            <w:r>
              <w:rPr>
                <w:rFonts w:hint="eastAsia"/>
                <w:sz w:val="20"/>
                <w:szCs w:val="20"/>
              </w:rPr>
              <w:br/>
              <w:t xml:space="preserve">9、高效快速：90-120秒内上蒸汽。</w:t>
            </w:r>
            <w:r>
              <w:rPr>
                <w:rFonts w:hint="eastAsia"/>
                <w:sz w:val="20"/>
                <w:szCs w:val="20"/>
              </w:rPr>
              <w:br/>
              <w:t xml:space="preserve">10、配相应尺寸蒸饭盘24只。</w:t>
            </w:r>
            <w:r>
              <w:rPr>
                <w:rFonts w:hint="eastAsia"/>
                <w:sz w:val="20"/>
                <w:szCs w:val="20"/>
              </w:rPr>
              <w:br/>
            </w:r>
            <w:r>
              <w:rPr>
                <w:rFonts w:hint="eastAsia"/>
                <w:color w:val="ee0000"/>
                <w:sz w:val="20"/>
                <w:szCs w:val="20"/>
              </w:rPr>
              <w:t xml:space="preserve">★</w:t>
            </w:r>
            <w:r>
              <w:rPr>
                <w:rFonts w:hint="eastAsia"/>
                <w:color w:val="ee0000"/>
                <w:sz w:val="20"/>
                <w:szCs w:val="20"/>
              </w:rPr>
              <w:t xml:space="preserve">11、</w:t>
            </w:r>
            <w:r>
              <w:rPr>
                <w:rFonts w:hint="eastAsia"/>
                <w:color w:val="ee0000"/>
                <w:sz w:val="20"/>
                <w:szCs w:val="20"/>
              </w:rPr>
              <w:t xml:space="preserve">依据GB 30531-2014商用燃气灶具能效限定值及能效等级，能效等级1级。</w:t>
            </w:r>
            <w:r/>
          </w:p>
        </w:tc>
        <w:tc>
          <w:tcPr>
            <w:tcBorders>
              <w:top w:val="none" w:color="000000" w:sz="4" w:space="0"/>
              <w:left w:val="none" w:color="000000" w:sz="4" w:space="0"/>
              <w:bottom w:val="single" w:color="000000" w:sz="4" w:space="0"/>
              <w:right w:val="single" w:color="000000"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000000" w:sz="4" w:space="0"/>
              <w:right w:val="single" w:color="000000" w:sz="4" w:space="0"/>
            </w:tcBorders>
            <w:tcW w:w="631" w:type="dxa"/>
            <w:vAlign w:val="center"/>
            <w:textDirection w:val="lrTb"/>
            <w:noWrap/>
          </w:tcPr>
          <w:p>
            <w:pPr>
              <w:jc w:val="center"/>
              <w:rPr>
                <w:rFonts w:hint="eastAsia"/>
                <w:sz w:val="20"/>
                <w:szCs w:val="20"/>
              </w:rPr>
            </w:pPr>
            <w:r>
              <w:rPr>
                <w:rFonts w:hint="eastAsia"/>
                <w:sz w:val="20"/>
                <w:szCs w:val="20"/>
              </w:rPr>
              <w:t xml:space="preserve">3</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rPr>
            </w:pPr>
            <w:r>
              <w:rPr>
                <w:rFonts w:hint="eastAsia"/>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60</w:t>
            </w:r>
            <w:r/>
          </w:p>
        </w:tc>
        <w:tc>
          <w:tcPr>
            <w:tcBorders>
              <w:top w:val="none" w:color="000000" w:sz="4" w:space="0"/>
              <w:left w:val="none" w:color="000000" w:sz="4" w:space="0"/>
              <w:bottom w:val="single" w:color="000000" w:sz="4" w:space="0"/>
              <w:right w:val="single" w:color="000000" w:sz="4" w:space="0"/>
            </w:tcBorders>
            <w:tcW w:w="1637" w:type="dxa"/>
            <w:vAlign w:val="center"/>
            <w:textDirection w:val="lrTb"/>
            <w:noWrap/>
          </w:tcPr>
          <w:p>
            <w:pPr>
              <w:rPr>
                <w:rFonts w:hint="eastAsia"/>
                <w:sz w:val="20"/>
                <w:szCs w:val="20"/>
              </w:rPr>
            </w:pPr>
            <w:r>
              <w:rPr>
                <w:rFonts w:hint="eastAsia"/>
                <w:sz w:val="20"/>
                <w:szCs w:val="20"/>
              </w:rPr>
              <w:t xml:space="preserve">三门蒸柜</w:t>
            </w: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tcPr>
          <w:p>
            <w:pPr>
              <w:rPr>
                <w:rFonts w:hint="eastAsia"/>
                <w:sz w:val="20"/>
                <w:szCs w:val="20"/>
              </w:rPr>
            </w:pPr>
            <w:r>
              <w:rPr>
                <w:rFonts w:hint="eastAsia"/>
                <w:sz w:val="20"/>
                <w:szCs w:val="20"/>
              </w:rPr>
              <w:t xml:space="preserve">910*910*1850</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1、柜体：采用SUS304≥1.5mm不锈钢板；</w:t>
            </w:r>
            <w:r>
              <w:rPr>
                <w:rFonts w:hint="eastAsia"/>
                <w:sz w:val="20"/>
                <w:szCs w:val="20"/>
              </w:rPr>
              <w:br/>
              <w:t xml:space="preserve">2、侧板：采用SUS304≥1.2mm不锈钢板；</w:t>
            </w:r>
            <w:r>
              <w:rPr>
                <w:rFonts w:hint="eastAsia"/>
                <w:sz w:val="20"/>
                <w:szCs w:val="20"/>
              </w:rPr>
              <w:br/>
              <w:t xml:space="preserve">3、内胆：采用SUS304≥1.5mm不锈钢板；</w:t>
            </w:r>
            <w:r>
              <w:rPr>
                <w:rFonts w:hint="eastAsia"/>
                <w:sz w:val="20"/>
                <w:szCs w:val="20"/>
              </w:rPr>
              <w:br/>
              <w:t xml:space="preserve">4、炉头：采用节能环保炉头；</w:t>
            </w:r>
            <w:r>
              <w:rPr>
                <w:rFonts w:hint="eastAsia"/>
                <w:sz w:val="20"/>
                <w:szCs w:val="20"/>
              </w:rPr>
              <w:br/>
              <w:t xml:space="preserve">5、智能操作： 单键按钮启动；</w:t>
            </w:r>
            <w:r>
              <w:rPr>
                <w:rFonts w:hint="eastAsia"/>
                <w:sz w:val="20"/>
                <w:szCs w:val="20"/>
              </w:rPr>
              <w:br/>
              <w:t xml:space="preserve">6、风机功率：≥120W；</w:t>
            </w:r>
            <w:r>
              <w:rPr>
                <w:rFonts w:hint="eastAsia"/>
                <w:sz w:val="20"/>
                <w:szCs w:val="20"/>
              </w:rPr>
              <w:br/>
              <w:t xml:space="preserve">7、控制系统：自动脉冲电子点火、离子火焰监控、双向电磁阀、带缺水、过热、过压及熄火保护装置，特殊水胆设计，换热面积大提高热效率，水胆可拆卸，方便维修保养；</w:t>
            </w:r>
            <w:r>
              <w:rPr>
                <w:rFonts w:hint="eastAsia"/>
                <w:sz w:val="20"/>
                <w:szCs w:val="20"/>
              </w:rPr>
              <w:br/>
              <w:t xml:space="preserve">8、环保排放：排气烟管温度低于65℃；                       </w:t>
            </w:r>
            <w:r>
              <w:rPr>
                <w:rFonts w:hint="eastAsia"/>
                <w:sz w:val="20"/>
                <w:szCs w:val="20"/>
              </w:rPr>
              <w:br/>
              <w:t xml:space="preserve">9、高效快速：90-120秒内上蒸汽。 </w:t>
            </w:r>
            <w:r/>
          </w:p>
        </w:tc>
        <w:tc>
          <w:tcPr>
            <w:tcBorders>
              <w:top w:val="none" w:color="000000" w:sz="4" w:space="0"/>
              <w:left w:val="none" w:color="000000" w:sz="4" w:space="0"/>
              <w:bottom w:val="single" w:color="000000" w:sz="4" w:space="0"/>
              <w:right w:val="single" w:color="000000"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000000" w:sz="4" w:space="0"/>
              <w:right w:val="single" w:color="000000" w:sz="4" w:space="0"/>
            </w:tcBorders>
            <w:tcW w:w="631" w:type="dxa"/>
            <w:vAlign w:val="center"/>
            <w:textDirection w:val="lrTb"/>
            <w:noWrap/>
          </w:tcPr>
          <w:p>
            <w:pPr>
              <w:jc w:val="center"/>
              <w:rPr>
                <w:rFonts w:hint="eastAsia"/>
                <w:sz w:val="20"/>
                <w:szCs w:val="20"/>
              </w:rPr>
            </w:pPr>
            <w:r>
              <w:rPr>
                <w:rFonts w:hint="eastAsia"/>
                <w:sz w:val="20"/>
                <w:szCs w:val="20"/>
              </w:rPr>
              <w:t xml:space="preserve">2</w:t>
            </w:r>
            <w:r/>
          </w:p>
        </w:tc>
        <w:tc>
          <w:tcPr>
            <w:tcBorders>
              <w:top w:val="none" w:color="000000" w:sz="4" w:space="0"/>
              <w:left w:val="none" w:color="000000" w:sz="4" w:space="0"/>
              <w:bottom w:val="none" w:color="000000" w:sz="4" w:space="0"/>
              <w:right w:val="none" w:color="000000" w:sz="4" w:space="0"/>
            </w:tcBorders>
            <w:tcW w:w="1630" w:type="dxa"/>
            <w:vAlign w:val="bottom"/>
            <w:textDirection w:val="lrTb"/>
            <w:noWrap/>
          </w:tcPr>
          <w:p>
            <w:pPr>
              <w:jc w:val="center"/>
              <w:rPr>
                <w:rFonts w:hint="eastAsia"/>
                <w:sz w:val="20"/>
                <w:szCs w:val="20"/>
              </w:rPr>
            </w:pPr>
            <w:r>
              <w:rPr>
                <w:rFonts w:hint="eastAsia"/>
                <w:sz w:val="20"/>
                <w:szCs w:val="20"/>
              </w:rPr>
            </w:r>
            <w:r/>
          </w:p>
        </w:tc>
        <w:tc>
          <w:tcPr>
            <w:tcBorders>
              <w:top w:val="none" w:color="000000" w:sz="4" w:space="0"/>
              <w:left w:val="single" w:color="auto" w:sz="4" w:space="0"/>
              <w:bottom w:val="single" w:color="auto" w:sz="4" w:space="0"/>
              <w:right w:val="single" w:color="auto" w:sz="4" w:space="0"/>
            </w:tcBorders>
            <w:tcW w:w="736"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rPr>
            </w:pPr>
            <w:r>
              <w:rPr>
                <w:rFonts w:hint="eastAsia"/>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61</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燃气推车蒸柜</w:t>
            </w: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tcPr>
          <w:p>
            <w:pPr>
              <w:rPr>
                <w:rFonts w:hint="eastAsia"/>
                <w:sz w:val="20"/>
                <w:szCs w:val="20"/>
              </w:rPr>
            </w:pPr>
            <w:r>
              <w:rPr>
                <w:rFonts w:hint="eastAsia"/>
                <w:sz w:val="20"/>
                <w:szCs w:val="20"/>
              </w:rPr>
              <w:t xml:space="preserve">1150*1050*1750</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1、柜体：采用SUS304≥1.5mm不锈钢板；</w:t>
            </w:r>
            <w:r>
              <w:rPr>
                <w:rFonts w:hint="eastAsia"/>
                <w:sz w:val="20"/>
                <w:szCs w:val="20"/>
              </w:rPr>
              <w:br/>
              <w:t xml:space="preserve">2、侧板：采用SUS304≥1.2mm不锈钢板；</w:t>
            </w:r>
            <w:r>
              <w:rPr>
                <w:rFonts w:hint="eastAsia"/>
                <w:sz w:val="20"/>
                <w:szCs w:val="20"/>
              </w:rPr>
              <w:br/>
              <w:t xml:space="preserve">3、内胆：采用SUS304≥1.5mm不锈钢板；</w:t>
            </w:r>
            <w:r>
              <w:rPr>
                <w:rFonts w:hint="eastAsia"/>
                <w:sz w:val="20"/>
                <w:szCs w:val="20"/>
              </w:rPr>
              <w:br/>
              <w:t xml:space="preserve">4、炉头：采用节能环保炉头；</w:t>
            </w:r>
            <w:r>
              <w:rPr>
                <w:rFonts w:hint="eastAsia"/>
                <w:sz w:val="20"/>
                <w:szCs w:val="20"/>
              </w:rPr>
              <w:br/>
              <w:t xml:space="preserve">5、智能操作：单键按钮启动；</w:t>
            </w:r>
            <w:r>
              <w:rPr>
                <w:rFonts w:hint="eastAsia"/>
                <w:sz w:val="20"/>
                <w:szCs w:val="20"/>
              </w:rPr>
              <w:br/>
              <w:t xml:space="preserve">6、风机功率：≥120W；</w:t>
            </w:r>
            <w:r>
              <w:rPr>
                <w:rFonts w:hint="eastAsia"/>
                <w:sz w:val="20"/>
                <w:szCs w:val="20"/>
              </w:rPr>
              <w:br/>
              <w:t xml:space="preserve">7、控制系统：自动脉冲电子点火、离子火焰监控、双向电磁阀、带缺水、过热、过压及熄火保护装置；</w:t>
            </w:r>
            <w:r>
              <w:rPr>
                <w:rFonts w:hint="eastAsia"/>
                <w:sz w:val="20"/>
                <w:szCs w:val="20"/>
              </w:rPr>
              <w:br/>
            </w:r>
            <w:r>
              <w:rPr>
                <w:rFonts w:hint="eastAsia"/>
                <w:sz w:val="20"/>
                <w:szCs w:val="20"/>
              </w:rPr>
              <w:t xml:space="preserve">8、环保排放：排气烟管温度低于65℃；</w:t>
            </w:r>
            <w:r>
              <w:rPr>
                <w:rFonts w:hint="eastAsia"/>
                <w:sz w:val="20"/>
                <w:szCs w:val="20"/>
              </w:rPr>
              <w:br/>
              <w:t xml:space="preserve">9、高效快速：90-120秒内上蒸汽。</w:t>
            </w:r>
            <w:r>
              <w:rPr>
                <w:rFonts w:hint="eastAsia"/>
                <w:sz w:val="20"/>
                <w:szCs w:val="20"/>
              </w:rPr>
              <w:br/>
              <w:t xml:space="preserve">10、配相应尺寸蒸饭盘24只。</w:t>
            </w:r>
            <w:r/>
          </w:p>
        </w:tc>
        <w:tc>
          <w:tcPr>
            <w:tcBorders>
              <w:top w:val="none" w:color="000000" w:sz="4" w:space="0"/>
              <w:left w:val="none" w:color="000000" w:sz="4" w:space="0"/>
              <w:bottom w:val="single" w:color="000000" w:sz="4" w:space="0"/>
              <w:right w:val="single" w:color="000000"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000000" w:sz="4" w:space="0"/>
              <w:right w:val="single" w:color="000000" w:sz="4" w:space="0"/>
            </w:tcBorders>
            <w:tcW w:w="631" w:type="dxa"/>
            <w:vAlign w:val="center"/>
            <w:textDirection w:val="lrTb"/>
            <w:noWrap/>
          </w:tcPr>
          <w:p>
            <w:pPr>
              <w:jc w:val="center"/>
              <w:rPr>
                <w:rFonts w:hint="eastAsia"/>
                <w:sz w:val="20"/>
                <w:szCs w:val="20"/>
              </w:rPr>
            </w:pPr>
            <w:r>
              <w:rPr>
                <w:rFonts w:hint="eastAsia"/>
                <w:sz w:val="20"/>
                <w:szCs w:val="20"/>
              </w:rPr>
              <w:t xml:space="preserve">3</w:t>
            </w:r>
            <w:r/>
          </w:p>
        </w:tc>
        <w:tc>
          <w:tcPr>
            <w:tcBorders>
              <w:top w:val="single" w:color="auto" w:sz="4" w:space="0"/>
              <w:left w:val="none" w:color="000000" w:sz="4" w:space="0"/>
              <w:bottom w:val="single" w:color="auto" w:sz="4" w:space="0"/>
              <w:right w:val="single" w:color="auto" w:sz="4" w:space="0"/>
            </w:tcBorders>
            <w:tcW w:w="1630"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rPr>
            </w:pPr>
            <w:r>
              <w:rPr>
                <w:rFonts w:hint="eastAsia"/>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62</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燃气蒸汽发生器</w:t>
            </w: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tcPr>
          <w:p>
            <w:pPr>
              <w:rPr>
                <w:rFonts w:hint="eastAsia"/>
                <w:sz w:val="20"/>
                <w:szCs w:val="20"/>
              </w:rPr>
            </w:pPr>
            <w:r>
              <w:rPr>
                <w:rFonts w:hint="eastAsia"/>
                <w:sz w:val="20"/>
                <w:szCs w:val="20"/>
              </w:rPr>
              <w:t xml:space="preserve">1000*450*900</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1、内胆采用：SUS304≥1.5mm不锈钢板制作，横卧式放置；</w:t>
            </w:r>
            <w:r>
              <w:rPr>
                <w:rFonts w:hint="eastAsia"/>
                <w:sz w:val="20"/>
                <w:szCs w:val="20"/>
              </w:rPr>
              <w:br/>
              <w:t xml:space="preserve">2、智能操作：一件式按钮启动，配水垢清洗装置；</w:t>
            </w:r>
            <w:r>
              <w:rPr>
                <w:rFonts w:hint="eastAsia"/>
                <w:sz w:val="20"/>
                <w:szCs w:val="20"/>
              </w:rPr>
              <w:br/>
              <w:t xml:space="preserve">3、风机功率：≥120W； </w:t>
            </w:r>
            <w:r>
              <w:rPr>
                <w:rFonts w:hint="eastAsia"/>
                <w:sz w:val="20"/>
                <w:szCs w:val="20"/>
              </w:rPr>
              <w:br/>
              <w:t xml:space="preserve">4、控制系统：自动脉冲电子点火、离子火焰监控、双向电磁阀、带缺水、过热、过压及熄火保护装置；</w:t>
            </w:r>
            <w:r>
              <w:rPr>
                <w:rFonts w:hint="eastAsia"/>
                <w:sz w:val="20"/>
                <w:szCs w:val="20"/>
              </w:rPr>
              <w:br/>
              <w:t xml:space="preserve">5、环保排放：排气烟管温度低于65℃；                       </w:t>
            </w:r>
            <w:r>
              <w:rPr>
                <w:rFonts w:hint="eastAsia"/>
                <w:sz w:val="20"/>
                <w:szCs w:val="20"/>
              </w:rPr>
              <w:br/>
              <w:t xml:space="preserve">6、高效快速：90-120秒内上蒸汽。                                            </w:t>
            </w:r>
            <w:r/>
          </w:p>
        </w:tc>
        <w:tc>
          <w:tcPr>
            <w:tcBorders>
              <w:top w:val="none" w:color="000000" w:sz="4" w:space="0"/>
              <w:left w:val="none" w:color="000000" w:sz="4" w:space="0"/>
              <w:bottom w:val="single" w:color="000000" w:sz="4" w:space="0"/>
              <w:right w:val="single" w:color="000000"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000000" w:sz="4" w:space="0"/>
              <w:right w:val="single" w:color="000000" w:sz="4" w:space="0"/>
            </w:tcBorders>
            <w:tcW w:w="631" w:type="dxa"/>
            <w:vAlign w:val="center"/>
            <w:textDirection w:val="lrTb"/>
            <w:noWrap/>
          </w:tcPr>
          <w:p>
            <w:pPr>
              <w:jc w:val="center"/>
              <w:rPr>
                <w:rFonts w:hint="eastAsia"/>
                <w:sz w:val="20"/>
                <w:szCs w:val="20"/>
              </w:rPr>
            </w:pPr>
            <w:r>
              <w:rPr>
                <w:rFonts w:hint="eastAsia"/>
                <w:sz w:val="20"/>
                <w:szCs w:val="20"/>
              </w:rPr>
              <w:t xml:space="preserve">4</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rPr>
            </w:pPr>
            <w:r>
              <w:rPr>
                <w:rFonts w:hint="eastAsia"/>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63</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单头单尾炒灶</w:t>
            </w: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tcPr>
          <w:p>
            <w:pPr>
              <w:rPr>
                <w:rFonts w:hint="eastAsia"/>
                <w:sz w:val="20"/>
                <w:szCs w:val="20"/>
              </w:rPr>
            </w:pPr>
            <w:r>
              <w:rPr>
                <w:rFonts w:hint="eastAsia"/>
                <w:sz w:val="20"/>
                <w:szCs w:val="20"/>
              </w:rPr>
              <w:t xml:space="preserve">1100*1200*800+400</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1、台面：采用SUS304≥1.5mm不锈钢板；</w:t>
            </w:r>
            <w:r>
              <w:rPr>
                <w:rFonts w:hint="eastAsia"/>
                <w:sz w:val="20"/>
                <w:szCs w:val="20"/>
              </w:rPr>
              <w:br/>
              <w:t xml:space="preserve">2、围板：采用SUS304≥1.2mm不锈钢板；</w:t>
            </w:r>
            <w:r>
              <w:rPr>
                <w:rFonts w:hint="eastAsia"/>
                <w:sz w:val="20"/>
                <w:szCs w:val="20"/>
              </w:rPr>
              <w:br/>
              <w:t xml:space="preserve">3、承力架:≥4#镀锌国标角钢；</w:t>
            </w:r>
            <w:r>
              <w:rPr>
                <w:rFonts w:hint="eastAsia"/>
                <w:sz w:val="20"/>
                <w:szCs w:val="20"/>
              </w:rPr>
              <w:br/>
              <w:t xml:space="preserve">4、一体炉膛，电子点火环保节能炉头、带熄火保护装置；</w:t>
            </w:r>
            <w:r>
              <w:rPr>
                <w:rFonts w:hint="eastAsia"/>
                <w:sz w:val="20"/>
                <w:szCs w:val="20"/>
              </w:rPr>
              <w:br/>
              <w:t xml:space="preserve">5、鼓风机：节能低噪音风机；功率：≥250W</w:t>
            </w:r>
            <w:r>
              <w:rPr>
                <w:rFonts w:hint="eastAsia"/>
                <w:sz w:val="20"/>
                <w:szCs w:val="20"/>
              </w:rPr>
              <w:br/>
              <w:t xml:space="preserve">6、配</w:t>
            </w:r>
            <w:r>
              <w:rPr>
                <w:rFonts w:ascii="Calibri" w:hAnsi="Calibri" w:cs="Calibri"/>
                <w:sz w:val="20"/>
                <w:szCs w:val="20"/>
              </w:rPr>
              <w:t xml:space="preserve">φ</w:t>
            </w:r>
            <w:r>
              <w:rPr>
                <w:rFonts w:hint="eastAsia"/>
                <w:sz w:val="20"/>
                <w:szCs w:val="20"/>
              </w:rPr>
              <w:t xml:space="preserve">500mm锅具1口；</w:t>
            </w:r>
            <w:r/>
          </w:p>
        </w:tc>
        <w:tc>
          <w:tcPr>
            <w:tcBorders>
              <w:top w:val="none" w:color="000000" w:sz="4" w:space="0"/>
              <w:left w:val="none" w:color="000000" w:sz="4" w:space="0"/>
              <w:bottom w:val="single" w:color="000000" w:sz="4" w:space="0"/>
              <w:right w:val="single" w:color="000000"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000000" w:sz="4" w:space="0"/>
              <w:right w:val="single" w:color="000000" w:sz="4" w:space="0"/>
            </w:tcBorders>
            <w:tcW w:w="631" w:type="dxa"/>
            <w:vAlign w:val="center"/>
            <w:textDirection w:val="lrTb"/>
            <w:noWrap/>
          </w:tcPr>
          <w:p>
            <w:pPr>
              <w:jc w:val="center"/>
              <w:rPr>
                <w:rFonts w:hint="eastAsia"/>
                <w:sz w:val="20"/>
                <w:szCs w:val="20"/>
              </w:rPr>
            </w:pPr>
            <w:r>
              <w:rPr>
                <w:rFonts w:hint="eastAsia"/>
                <w:sz w:val="20"/>
                <w:szCs w:val="20"/>
              </w:rPr>
              <w:t xml:space="preserve">5</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rPr>
            </w:pPr>
            <w:r>
              <w:rPr>
                <w:rFonts w:hint="eastAsia"/>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64</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双头大锅灶</w:t>
            </w: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tcPr>
          <w:p>
            <w:pPr>
              <w:rPr>
                <w:rFonts w:hint="eastAsia"/>
                <w:sz w:val="20"/>
                <w:szCs w:val="20"/>
              </w:rPr>
            </w:pPr>
            <w:r>
              <w:rPr>
                <w:rFonts w:hint="eastAsia"/>
                <w:sz w:val="20"/>
                <w:szCs w:val="20"/>
              </w:rPr>
              <w:t xml:space="preserve">2200*1200*800+400</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1、台面：采用SUS304 ≥1.5mm不锈钢板；</w:t>
            </w:r>
            <w:r>
              <w:rPr>
                <w:rFonts w:hint="eastAsia"/>
                <w:sz w:val="20"/>
                <w:szCs w:val="20"/>
              </w:rPr>
              <w:br/>
              <w:t xml:space="preserve">2、围板：采用SUS304 ≥1.2mm不锈钢板；</w:t>
            </w:r>
            <w:r>
              <w:rPr>
                <w:rFonts w:hint="eastAsia"/>
                <w:sz w:val="20"/>
                <w:szCs w:val="20"/>
              </w:rPr>
              <w:br/>
              <w:t xml:space="preserve">3、承力架:≥5#镀锌国标角钢</w:t>
            </w:r>
            <w:r>
              <w:rPr>
                <w:rFonts w:hint="eastAsia"/>
                <w:sz w:val="20"/>
                <w:szCs w:val="20"/>
              </w:rPr>
              <w:br/>
              <w:t xml:space="preserve">4、一体炉膛，电子点火环保节能炉头，带熄火保护装置；</w:t>
            </w:r>
            <w:r>
              <w:rPr>
                <w:rFonts w:hint="eastAsia"/>
                <w:sz w:val="20"/>
                <w:szCs w:val="20"/>
              </w:rPr>
              <w:br/>
              <w:t xml:space="preserve">5、鼓风机：节能低噪音风机；功率：≥250W*2</w:t>
            </w:r>
            <w:r>
              <w:rPr>
                <w:rFonts w:hint="eastAsia"/>
                <w:sz w:val="20"/>
                <w:szCs w:val="20"/>
              </w:rPr>
              <w:br/>
              <w:t xml:space="preserve">6、配</w:t>
            </w:r>
            <w:r>
              <w:rPr>
                <w:rFonts w:ascii="Calibri" w:hAnsi="Calibri" w:cs="Calibri"/>
                <w:sz w:val="20"/>
                <w:szCs w:val="20"/>
              </w:rPr>
              <w:t xml:space="preserve">φ</w:t>
            </w:r>
            <w:r>
              <w:rPr>
                <w:rFonts w:hint="eastAsia"/>
                <w:sz w:val="20"/>
                <w:szCs w:val="20"/>
              </w:rPr>
              <w:t xml:space="preserve">900mm锅具2口；</w:t>
            </w:r>
            <w:r>
              <w:rPr>
                <w:rFonts w:hint="eastAsia"/>
                <w:sz w:val="20"/>
                <w:szCs w:val="20"/>
              </w:rPr>
              <w:br/>
              <w:t xml:space="preserve">7、铸铁可调重力脚。</w:t>
            </w:r>
            <w:r>
              <w:rPr>
                <w:rFonts w:hint="eastAsia"/>
                <w:sz w:val="20"/>
                <w:szCs w:val="20"/>
              </w:rPr>
              <w:br/>
            </w:r>
            <w:r>
              <w:rPr>
                <w:rFonts w:hint="eastAsia"/>
                <w:color w:val="ee0000"/>
                <w:sz w:val="20"/>
                <w:szCs w:val="20"/>
              </w:rPr>
              <w:t xml:space="preserve">★</w:t>
            </w:r>
            <w:r>
              <w:rPr>
                <w:rFonts w:hint="eastAsia"/>
                <w:color w:val="ee0000"/>
                <w:sz w:val="20"/>
                <w:szCs w:val="20"/>
              </w:rPr>
              <w:t xml:space="preserve">8、</w:t>
            </w:r>
            <w:r>
              <w:rPr>
                <w:rFonts w:hint="eastAsia"/>
                <w:color w:val="ee0000"/>
                <w:sz w:val="20"/>
                <w:szCs w:val="20"/>
              </w:rPr>
              <w:t xml:space="preserve">依据GB 30531-2014商用燃气灶具能效限定值及能效等级，能效等级1级。</w:t>
            </w:r>
            <w:r/>
          </w:p>
        </w:tc>
        <w:tc>
          <w:tcPr>
            <w:tcBorders>
              <w:top w:val="none" w:color="000000" w:sz="4" w:space="0"/>
              <w:left w:val="none" w:color="000000" w:sz="4" w:space="0"/>
              <w:bottom w:val="single" w:color="000000" w:sz="4" w:space="0"/>
              <w:right w:val="single" w:color="000000"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000000" w:sz="4" w:space="0"/>
              <w:right w:val="single" w:color="000000" w:sz="4" w:space="0"/>
            </w:tcBorders>
            <w:tcW w:w="631" w:type="dxa"/>
            <w:vAlign w:val="center"/>
            <w:textDirection w:val="lrTb"/>
            <w:noWrap/>
          </w:tcPr>
          <w:p>
            <w:pPr>
              <w:jc w:val="center"/>
              <w:rPr>
                <w:rFonts w:hint="eastAsia"/>
                <w:sz w:val="20"/>
                <w:szCs w:val="20"/>
              </w:rPr>
            </w:pPr>
            <w:r>
              <w:rPr>
                <w:rFonts w:hint="eastAsia"/>
                <w:sz w:val="20"/>
                <w:szCs w:val="20"/>
              </w:rPr>
              <w:t xml:space="preserve">5</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rPr>
            </w:pPr>
            <w:r>
              <w:rPr>
                <w:rFonts w:hint="eastAsia"/>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65</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双头单尾炒灶</w:t>
            </w: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tcPr>
          <w:p>
            <w:pPr>
              <w:rPr>
                <w:rFonts w:hint="eastAsia"/>
                <w:sz w:val="20"/>
                <w:szCs w:val="20"/>
              </w:rPr>
            </w:pPr>
            <w:r>
              <w:rPr>
                <w:rFonts w:hint="eastAsia"/>
                <w:sz w:val="20"/>
                <w:szCs w:val="20"/>
              </w:rPr>
              <w:t xml:space="preserve">1800*1200*800+400</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1、台面：采用SUS304 ≥1.5mm不锈钢板；</w:t>
            </w:r>
            <w:r>
              <w:rPr>
                <w:rFonts w:hint="eastAsia"/>
                <w:sz w:val="20"/>
                <w:szCs w:val="20"/>
              </w:rPr>
              <w:br/>
            </w:r>
            <w:r>
              <w:rPr>
                <w:rFonts w:hint="eastAsia"/>
                <w:sz w:val="20"/>
                <w:szCs w:val="20"/>
              </w:rPr>
              <w:t xml:space="preserve">2、围板：采用SUS304 ≥1.2mm不锈钢板；</w:t>
            </w:r>
            <w:r>
              <w:rPr>
                <w:rFonts w:hint="eastAsia"/>
                <w:sz w:val="20"/>
                <w:szCs w:val="20"/>
              </w:rPr>
              <w:br/>
              <w:t xml:space="preserve">3、承力架:≥4#镀锌国标角钢；</w:t>
            </w:r>
            <w:r>
              <w:rPr>
                <w:rFonts w:hint="eastAsia"/>
                <w:sz w:val="20"/>
                <w:szCs w:val="20"/>
              </w:rPr>
              <w:br/>
              <w:t xml:space="preserve">4、一体炉膛，电子点火环保节能炉头，带熄火保护装置；</w:t>
            </w:r>
            <w:r>
              <w:rPr>
                <w:rFonts w:hint="eastAsia"/>
                <w:sz w:val="20"/>
                <w:szCs w:val="20"/>
              </w:rPr>
              <w:br/>
              <w:t xml:space="preserve">5、鼓风机：节能低噪音风机；功率：≥250W*2</w:t>
            </w:r>
            <w:r>
              <w:rPr>
                <w:rFonts w:hint="eastAsia"/>
                <w:sz w:val="20"/>
                <w:szCs w:val="20"/>
              </w:rPr>
              <w:br/>
              <w:t xml:space="preserve">6、配</w:t>
            </w:r>
            <w:r>
              <w:rPr>
                <w:rFonts w:ascii="Calibri" w:hAnsi="Calibri" w:cs="Calibri"/>
                <w:sz w:val="20"/>
                <w:szCs w:val="20"/>
              </w:rPr>
              <w:t xml:space="preserve">φ</w:t>
            </w:r>
            <w:r>
              <w:rPr>
                <w:rFonts w:hint="eastAsia"/>
                <w:sz w:val="20"/>
                <w:szCs w:val="20"/>
              </w:rPr>
              <w:t xml:space="preserve">500mm锅具2口；</w:t>
            </w:r>
            <w:r/>
          </w:p>
        </w:tc>
        <w:tc>
          <w:tcPr>
            <w:tcBorders>
              <w:top w:val="none" w:color="000000" w:sz="4" w:space="0"/>
              <w:left w:val="none" w:color="000000" w:sz="4" w:space="0"/>
              <w:bottom w:val="single" w:color="000000" w:sz="4" w:space="0"/>
              <w:right w:val="single" w:color="000000"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000000" w:sz="4" w:space="0"/>
              <w:right w:val="single" w:color="000000" w:sz="4" w:space="0"/>
            </w:tcBorders>
            <w:tcW w:w="631" w:type="dxa"/>
            <w:vAlign w:val="center"/>
            <w:textDirection w:val="lrTb"/>
            <w:noWrap/>
          </w:tcPr>
          <w:p>
            <w:pPr>
              <w:jc w:val="center"/>
              <w:rPr>
                <w:rFonts w:hint="eastAsia"/>
                <w:sz w:val="20"/>
                <w:szCs w:val="20"/>
              </w:rPr>
            </w:pPr>
            <w:r>
              <w:rPr>
                <w:rFonts w:hint="eastAsia"/>
                <w:sz w:val="20"/>
                <w:szCs w:val="20"/>
              </w:rPr>
              <w:t xml:space="preserve">5</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rPr>
            </w:pPr>
            <w:r>
              <w:rPr>
                <w:rFonts w:hint="eastAsia"/>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66</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双头双尾炒灶</w:t>
            </w: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tcPr>
          <w:p>
            <w:pPr>
              <w:rPr>
                <w:rFonts w:hint="eastAsia"/>
                <w:sz w:val="20"/>
                <w:szCs w:val="20"/>
              </w:rPr>
            </w:pPr>
            <w:r>
              <w:rPr>
                <w:rFonts w:hint="eastAsia"/>
                <w:sz w:val="20"/>
                <w:szCs w:val="20"/>
              </w:rPr>
              <w:t xml:space="preserve">2200*1200*800+400</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1、台面：采用SUS304 ≥1.5mm不锈钢板；</w:t>
            </w:r>
            <w:r>
              <w:rPr>
                <w:rFonts w:hint="eastAsia"/>
                <w:sz w:val="20"/>
                <w:szCs w:val="20"/>
              </w:rPr>
              <w:br/>
              <w:t xml:space="preserve">2、围板：采用SUS304 ≥1.2mm不锈钢板；</w:t>
            </w:r>
            <w:r>
              <w:rPr>
                <w:rFonts w:hint="eastAsia"/>
                <w:sz w:val="20"/>
                <w:szCs w:val="20"/>
              </w:rPr>
              <w:br/>
              <w:t xml:space="preserve">3、承力架:≥5#镀锌国标角钢</w:t>
            </w:r>
            <w:r>
              <w:rPr>
                <w:rFonts w:hint="eastAsia"/>
                <w:sz w:val="20"/>
                <w:szCs w:val="20"/>
              </w:rPr>
              <w:br/>
              <w:t xml:space="preserve">4、一体炉膛，电子点火环保节能炉头，带熄火保护装置；</w:t>
            </w:r>
            <w:r>
              <w:rPr>
                <w:rFonts w:hint="eastAsia"/>
                <w:sz w:val="20"/>
                <w:szCs w:val="20"/>
              </w:rPr>
              <w:br/>
              <w:t xml:space="preserve">5、鼓风机：节能低噪音风机；功率：≥250W*2；</w:t>
            </w:r>
            <w:r>
              <w:rPr>
                <w:rFonts w:hint="eastAsia"/>
                <w:sz w:val="20"/>
                <w:szCs w:val="20"/>
              </w:rPr>
              <w:br/>
              <w:t xml:space="preserve">6、配</w:t>
            </w:r>
            <w:r>
              <w:rPr>
                <w:rFonts w:ascii="Calibri" w:hAnsi="Calibri" w:cs="Calibri"/>
                <w:sz w:val="20"/>
                <w:szCs w:val="20"/>
              </w:rPr>
              <w:t xml:space="preserve">φ</w:t>
            </w:r>
            <w:r>
              <w:rPr>
                <w:rFonts w:hint="eastAsia"/>
                <w:sz w:val="20"/>
                <w:szCs w:val="20"/>
              </w:rPr>
              <w:t xml:space="preserve">500mm锅具2口；</w:t>
            </w:r>
            <w:r/>
          </w:p>
        </w:tc>
        <w:tc>
          <w:tcPr>
            <w:tcBorders>
              <w:top w:val="none" w:color="000000" w:sz="4" w:space="0"/>
              <w:left w:val="none" w:color="000000" w:sz="4" w:space="0"/>
              <w:bottom w:val="single" w:color="000000" w:sz="4" w:space="0"/>
              <w:right w:val="single" w:color="000000"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31" w:type="dxa"/>
            <w:vAlign w:val="center"/>
            <w:textDirection w:val="lrTb"/>
            <w:noWrap/>
          </w:tcPr>
          <w:p>
            <w:pPr>
              <w:jc w:val="center"/>
              <w:rPr>
                <w:rFonts w:hint="eastAsia"/>
                <w:sz w:val="20"/>
                <w:szCs w:val="20"/>
              </w:rPr>
            </w:pPr>
            <w:r>
              <w:rPr>
                <w:rFonts w:hint="eastAsia"/>
                <w:sz w:val="20"/>
                <w:szCs w:val="20"/>
              </w:rPr>
              <w:t xml:space="preserve">6</w:t>
            </w:r>
            <w:r/>
          </w:p>
        </w:tc>
        <w:tc>
          <w:tcPr>
            <w:tcBorders>
              <w:top w:val="none" w:color="000000" w:sz="4" w:space="0"/>
              <w:left w:val="none" w:color="000000" w:sz="4" w:space="0"/>
              <w:bottom w:val="single" w:color="000000" w:sz="4" w:space="0"/>
              <w:right w:val="single" w:color="000000" w:sz="4" w:space="0"/>
            </w:tcBorders>
            <w:tcW w:w="1630"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rPr>
            </w:pPr>
            <w:r>
              <w:rPr>
                <w:rFonts w:hint="eastAsia"/>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67</w:t>
            </w:r>
            <w:r/>
          </w:p>
        </w:tc>
        <w:tc>
          <w:tcPr>
            <w:tcBorders>
              <w:top w:val="none" w:color="000000" w:sz="4" w:space="0"/>
              <w:left w:val="none" w:color="000000" w:sz="4" w:space="0"/>
              <w:bottom w:val="single" w:color="000000" w:sz="4" w:space="0"/>
              <w:right w:val="single" w:color="000000" w:sz="4" w:space="0"/>
            </w:tcBorders>
            <w:tcW w:w="1637" w:type="dxa"/>
            <w:vAlign w:val="center"/>
            <w:textDirection w:val="lrTb"/>
            <w:noWrap w:val="false"/>
          </w:tcPr>
          <w:p>
            <w:pPr>
              <w:rPr>
                <w:rFonts w:hint="eastAsia"/>
                <w:sz w:val="20"/>
                <w:szCs w:val="20"/>
              </w:rPr>
            </w:pPr>
            <w:r>
              <w:rPr>
                <w:rFonts w:hint="eastAsia"/>
                <w:sz w:val="20"/>
                <w:szCs w:val="20"/>
              </w:rPr>
              <w:t xml:space="preserve">大锅灶连单炒单尾</w:t>
            </w: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tcPr>
          <w:p>
            <w:pPr>
              <w:rPr>
                <w:rFonts w:hint="eastAsia"/>
                <w:sz w:val="20"/>
                <w:szCs w:val="20"/>
              </w:rPr>
            </w:pPr>
            <w:r>
              <w:rPr>
                <w:rFonts w:hint="eastAsia"/>
                <w:sz w:val="20"/>
                <w:szCs w:val="20"/>
              </w:rPr>
              <w:t xml:space="preserve">2000*1200*800+400</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1、台面：采用SUS304 ≥1.5mm不锈钢板；</w:t>
            </w:r>
            <w:r>
              <w:rPr>
                <w:rFonts w:hint="eastAsia"/>
                <w:sz w:val="20"/>
                <w:szCs w:val="20"/>
              </w:rPr>
              <w:br/>
              <w:t xml:space="preserve">2、围板：采用SUS304 ≥1.2mm不锈钢板；</w:t>
            </w:r>
            <w:r>
              <w:rPr>
                <w:rFonts w:hint="eastAsia"/>
                <w:sz w:val="20"/>
                <w:szCs w:val="20"/>
              </w:rPr>
              <w:br/>
              <w:t xml:space="preserve">3、承力架:≥5#镀锌国标角钢</w:t>
            </w:r>
            <w:r>
              <w:rPr>
                <w:rFonts w:hint="eastAsia"/>
                <w:sz w:val="20"/>
                <w:szCs w:val="20"/>
              </w:rPr>
              <w:br/>
              <w:t xml:space="preserve">4、一体炉膛，电子点火节能炉头，带熄火保护装置；；</w:t>
            </w:r>
            <w:r>
              <w:rPr>
                <w:rFonts w:hint="eastAsia"/>
                <w:sz w:val="20"/>
                <w:szCs w:val="20"/>
              </w:rPr>
              <w:br/>
              <w:t xml:space="preserve">5、鼓风机：节能低噪音风机；功率：≥250W*2；</w:t>
            </w:r>
            <w:r>
              <w:rPr>
                <w:rFonts w:hint="eastAsia"/>
                <w:sz w:val="20"/>
                <w:szCs w:val="20"/>
              </w:rPr>
              <w:br/>
              <w:t xml:space="preserve">6、配</w:t>
            </w:r>
            <w:r>
              <w:rPr>
                <w:rFonts w:ascii="Calibri" w:hAnsi="Calibri" w:cs="Calibri"/>
                <w:sz w:val="20"/>
                <w:szCs w:val="20"/>
              </w:rPr>
              <w:t xml:space="preserve">φ</w:t>
            </w:r>
            <w:r>
              <w:rPr>
                <w:rFonts w:hint="eastAsia"/>
                <w:sz w:val="20"/>
                <w:szCs w:val="20"/>
              </w:rPr>
              <w:t xml:space="preserve">800mm、</w:t>
            </w:r>
            <w:r>
              <w:rPr>
                <w:rFonts w:ascii="Calibri" w:hAnsi="Calibri" w:cs="Calibri"/>
                <w:sz w:val="20"/>
                <w:szCs w:val="20"/>
              </w:rPr>
              <w:t xml:space="preserve">φ</w:t>
            </w:r>
            <w:r>
              <w:rPr>
                <w:rFonts w:hint="eastAsia"/>
                <w:sz w:val="20"/>
                <w:szCs w:val="20"/>
              </w:rPr>
              <w:t xml:space="preserve">500mm锅具各1口；</w:t>
            </w:r>
            <w:r/>
          </w:p>
        </w:tc>
        <w:tc>
          <w:tcPr>
            <w:tcBorders>
              <w:top w:val="none" w:color="000000" w:sz="4" w:space="0"/>
              <w:left w:val="none" w:color="000000" w:sz="4" w:space="0"/>
              <w:bottom w:val="single" w:color="000000" w:sz="4" w:space="0"/>
              <w:right w:val="single" w:color="000000"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000000" w:sz="4" w:space="0"/>
              <w:right w:val="single" w:color="000000" w:sz="4" w:space="0"/>
            </w:tcBorders>
            <w:tcW w:w="631" w:type="dxa"/>
            <w:vAlign w:val="center"/>
            <w:textDirection w:val="lrTb"/>
            <w:noWrap/>
          </w:tcPr>
          <w:p>
            <w:pPr>
              <w:jc w:val="center"/>
              <w:rPr>
                <w:rFonts w:hint="eastAsia"/>
                <w:sz w:val="20"/>
                <w:szCs w:val="20"/>
              </w:rPr>
            </w:pPr>
            <w:r>
              <w:rPr>
                <w:rFonts w:hint="eastAsia"/>
                <w:sz w:val="20"/>
                <w:szCs w:val="20"/>
              </w:rPr>
              <w:t xml:space="preserve">1</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rPr>
            </w:pPr>
            <w:r>
              <w:rPr>
                <w:rFonts w:hint="eastAsia"/>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b/>
                <w:bCs/>
                <w:sz w:val="20"/>
                <w:szCs w:val="20"/>
              </w:rPr>
            </w:pPr>
            <w:r>
              <w:rPr>
                <w:rFonts w:hint="eastAsia"/>
                <w:b/>
                <w:bCs/>
                <w:sz w:val="20"/>
                <w:szCs w:val="20"/>
              </w:rPr>
              <w:t xml:space="preserve">五</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b/>
                <w:bCs/>
                <w:sz w:val="20"/>
                <w:szCs w:val="20"/>
              </w:rPr>
            </w:pPr>
            <w:r>
              <w:rPr>
                <w:rFonts w:hint="eastAsia"/>
                <w:b/>
                <w:bCs/>
                <w:sz w:val="20"/>
                <w:szCs w:val="20"/>
              </w:rPr>
              <w:t xml:space="preserve">龙头类</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680"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631"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rPr>
            </w:pPr>
            <w:r>
              <w:rPr>
                <w:rFonts w:hint="eastAsia"/>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68</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val="false"/>
          </w:tcPr>
          <w:p>
            <w:pPr>
              <w:rPr>
                <w:rFonts w:hint="eastAsia"/>
                <w:sz w:val="20"/>
                <w:szCs w:val="20"/>
              </w:rPr>
            </w:pPr>
            <w:r>
              <w:rPr>
                <w:rFonts w:hint="eastAsia"/>
                <w:sz w:val="20"/>
                <w:szCs w:val="20"/>
              </w:rPr>
              <w:t xml:space="preserve">感应龙头</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val="false"/>
          </w:tcPr>
          <w:p>
            <w:pP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1、H62黄铜铸造主体，表面抛光镀铬处理；</w:t>
            </w:r>
            <w:r>
              <w:rPr>
                <w:rFonts w:hint="eastAsia"/>
                <w:sz w:val="20"/>
                <w:szCs w:val="20"/>
              </w:rPr>
              <w:br/>
              <w:t xml:space="preserve">2、座台式安装，开孔尺寸25mm；</w:t>
            </w:r>
            <w:r>
              <w:rPr>
                <w:rFonts w:hint="eastAsia"/>
                <w:sz w:val="20"/>
                <w:szCs w:val="20"/>
              </w:rPr>
              <w:br/>
              <w:t xml:space="preserve">3、红外感应范围13cm(±5%），感应距离30cm范围内可调；</w:t>
            </w:r>
            <w:r>
              <w:rPr>
                <w:rFonts w:hint="eastAsia"/>
                <w:sz w:val="20"/>
                <w:szCs w:val="20"/>
              </w:rPr>
              <w:br/>
              <w:t xml:space="preserve">4、AC/DC控制模块，电源可选交流电或1.5V*4直流电源；</w:t>
            </w:r>
            <w:r>
              <w:rPr>
                <w:rFonts w:hint="eastAsia"/>
                <w:sz w:val="20"/>
                <w:szCs w:val="20"/>
              </w:rPr>
              <w:br/>
            </w:r>
            <w:r>
              <w:rPr>
                <w:rFonts w:hint="eastAsia"/>
                <w:sz w:val="20"/>
                <w:szCs w:val="20"/>
              </w:rPr>
              <w:t xml:space="preserve">5、三通接口设计，可接冷、热水源，接口4分外螺纹；</w:t>
            </w:r>
            <w:r>
              <w:rPr>
                <w:rFonts w:hint="eastAsia"/>
                <w:sz w:val="20"/>
                <w:szCs w:val="20"/>
              </w:rPr>
              <w:br/>
              <w:t xml:space="preserve">6、感应龙头尺寸160*185*125mm，出水口距台面100mm(±5%）。</w:t>
            </w:r>
            <w:r/>
          </w:p>
        </w:tc>
        <w:tc>
          <w:tcPr>
            <w:tcBorders>
              <w:top w:val="none" w:color="000000" w:sz="4" w:space="0"/>
              <w:left w:val="none" w:color="000000" w:sz="4" w:space="0"/>
              <w:bottom w:val="single" w:color="auto" w:sz="4" w:space="0"/>
              <w:right w:val="single" w:color="auto" w:sz="4" w:space="0"/>
            </w:tcBorders>
            <w:tcW w:w="680" w:type="dxa"/>
            <w:vAlign w:val="center"/>
            <w:textDirection w:val="lrTb"/>
            <w:noWrap w:val="false"/>
          </w:tcPr>
          <w:p>
            <w:pPr>
              <w:jc w:val="center"/>
              <w:rPr>
                <w:rFonts w:hint="eastAsia"/>
                <w:sz w:val="20"/>
                <w:szCs w:val="20"/>
              </w:rPr>
            </w:pPr>
            <w:r>
              <w:rPr>
                <w:rFonts w:hint="eastAsia"/>
                <w:sz w:val="20"/>
                <w:szCs w:val="20"/>
              </w:rPr>
              <w:t xml:space="preserve">只</w:t>
            </w:r>
            <w:r/>
          </w:p>
        </w:tc>
        <w:tc>
          <w:tcPr>
            <w:tcBorders>
              <w:top w:val="none" w:color="000000" w:sz="4" w:space="0"/>
              <w:left w:val="none" w:color="000000" w:sz="4" w:space="0"/>
              <w:bottom w:val="single" w:color="auto" w:sz="4" w:space="0"/>
              <w:right w:val="single" w:color="auto" w:sz="4" w:space="0"/>
            </w:tcBorders>
            <w:tcW w:w="631" w:type="dxa"/>
            <w:vAlign w:val="center"/>
            <w:textDirection w:val="lrTb"/>
            <w:noWrap w:val="false"/>
          </w:tcPr>
          <w:p>
            <w:pPr>
              <w:jc w:val="center"/>
              <w:rPr>
                <w:rFonts w:hint="eastAsia"/>
                <w:sz w:val="20"/>
                <w:szCs w:val="20"/>
              </w:rPr>
            </w:pPr>
            <w:r>
              <w:rPr>
                <w:rFonts w:hint="eastAsia"/>
                <w:sz w:val="20"/>
                <w:szCs w:val="20"/>
              </w:rPr>
              <w:t xml:space="preserve">17</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rPr>
            </w:pPr>
            <w:r>
              <w:rPr>
                <w:rFonts w:hint="eastAsia"/>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69</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val="false"/>
          </w:tcPr>
          <w:p>
            <w:pPr>
              <w:rPr>
                <w:rFonts w:hint="eastAsia"/>
                <w:sz w:val="20"/>
                <w:szCs w:val="20"/>
              </w:rPr>
            </w:pPr>
            <w:r>
              <w:rPr>
                <w:rFonts w:hint="eastAsia"/>
                <w:sz w:val="20"/>
                <w:szCs w:val="20"/>
              </w:rPr>
              <w:t xml:space="preserve">双温高压花洒龙头</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1、座台式双孔双温高压花洒、黄铜铸造表面抛光镀铬处理；</w:t>
            </w:r>
            <w:r>
              <w:rPr>
                <w:rFonts w:hint="eastAsia"/>
                <w:sz w:val="20"/>
                <w:szCs w:val="20"/>
              </w:rPr>
              <w:br/>
              <w:t xml:space="preserve">2、优质陶瓷阀芯、一字手柄；</w:t>
            </w:r>
            <w:r>
              <w:rPr>
                <w:rFonts w:hint="eastAsia"/>
                <w:sz w:val="20"/>
                <w:szCs w:val="20"/>
              </w:rPr>
              <w:br/>
              <w:t xml:space="preserve">3、横向固定杆长度300mm(±5%）,工作高度1300mm(±5%）；</w:t>
            </w:r>
            <w:r>
              <w:rPr>
                <w:rFonts w:hint="eastAsia"/>
                <w:sz w:val="20"/>
                <w:szCs w:val="20"/>
              </w:rPr>
              <w:br/>
              <w:t xml:space="preserve">4、标准1/2''外螺纹；</w:t>
            </w:r>
            <w:r>
              <w:rPr>
                <w:rFonts w:hint="eastAsia"/>
                <w:sz w:val="20"/>
                <w:szCs w:val="20"/>
              </w:rPr>
              <w:br/>
              <w:t xml:space="preserve">5、不锈钢软管配大流量喷阀，耐热手柄；</w:t>
            </w:r>
            <w:r>
              <w:rPr>
                <w:rFonts w:hint="eastAsia"/>
                <w:sz w:val="20"/>
                <w:szCs w:val="20"/>
              </w:rPr>
              <w:br/>
              <w:t xml:space="preserve">6、配12寸摇摆龙头。</w:t>
            </w:r>
            <w:r/>
          </w:p>
        </w:tc>
        <w:tc>
          <w:tcPr>
            <w:tcBorders>
              <w:top w:val="none" w:color="000000" w:sz="4" w:space="0"/>
              <w:left w:val="none" w:color="000000" w:sz="4" w:space="0"/>
              <w:bottom w:val="single" w:color="000000" w:sz="4" w:space="0"/>
              <w:right w:val="single" w:color="000000"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000000" w:sz="4" w:space="0"/>
              <w:right w:val="single" w:color="000000" w:sz="4" w:space="0"/>
            </w:tcBorders>
            <w:tcW w:w="631" w:type="dxa"/>
            <w:vAlign w:val="center"/>
            <w:textDirection w:val="lrTb"/>
            <w:noWrap/>
          </w:tcPr>
          <w:p>
            <w:pPr>
              <w:jc w:val="center"/>
              <w:rPr>
                <w:rFonts w:hint="eastAsia"/>
                <w:sz w:val="20"/>
                <w:szCs w:val="20"/>
              </w:rPr>
            </w:pPr>
            <w:r>
              <w:rPr>
                <w:rFonts w:hint="eastAsia"/>
                <w:sz w:val="20"/>
                <w:szCs w:val="20"/>
              </w:rPr>
              <w:t xml:space="preserve">2</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rPr>
            </w:pPr>
            <w:r>
              <w:rPr>
                <w:rFonts w:hint="eastAsia"/>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70</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val="false"/>
          </w:tcPr>
          <w:p>
            <w:pPr>
              <w:rPr>
                <w:rFonts w:hint="eastAsia"/>
                <w:sz w:val="20"/>
                <w:szCs w:val="20"/>
              </w:rPr>
            </w:pPr>
            <w:r>
              <w:rPr>
                <w:rFonts w:hint="eastAsia"/>
                <w:sz w:val="20"/>
                <w:szCs w:val="20"/>
              </w:rPr>
              <w:t xml:space="preserve">双温混水龙头</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val="false"/>
          </w:tcPr>
          <w:p>
            <w:pP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1、座台式双孔双温、主体黄铜铸造表面抛光镀铬处理；</w:t>
            </w:r>
            <w:r>
              <w:rPr>
                <w:rFonts w:hint="eastAsia"/>
                <w:sz w:val="20"/>
                <w:szCs w:val="20"/>
              </w:rPr>
              <w:br/>
              <w:t xml:space="preserve">2、配1/4转优质陶瓷阀芯一字型手柄；</w:t>
            </w:r>
            <w:r>
              <w:rPr>
                <w:rFonts w:hint="eastAsia"/>
                <w:sz w:val="20"/>
                <w:szCs w:val="20"/>
              </w:rPr>
              <w:br/>
              <w:t xml:space="preserve">3、十二寸（304mm）平颈水嘴，360度可旋转；</w:t>
            </w:r>
            <w:r>
              <w:rPr>
                <w:rFonts w:hint="eastAsia"/>
                <w:sz w:val="20"/>
                <w:szCs w:val="20"/>
              </w:rPr>
              <w:br/>
              <w:t xml:space="preserve">4、开孔尺寸25mm*2,左右开孔间距203mm(偏芯设计可调范围15mm)，进水接口为标准1/2''外螺纹；</w:t>
            </w:r>
            <w:r>
              <w:rPr>
                <w:rFonts w:hint="eastAsia"/>
                <w:sz w:val="20"/>
                <w:szCs w:val="20"/>
              </w:rPr>
              <w:br/>
              <w:t xml:space="preserve">5、总高度272mm(±5%）,出水口距台面190mm(±5%）。</w:t>
            </w:r>
            <w:r/>
          </w:p>
        </w:tc>
        <w:tc>
          <w:tcPr>
            <w:tcBorders>
              <w:top w:val="none" w:color="000000" w:sz="4" w:space="0"/>
              <w:left w:val="none" w:color="000000" w:sz="4" w:space="0"/>
              <w:bottom w:val="single" w:color="auto" w:sz="4" w:space="0"/>
              <w:right w:val="single" w:color="auto" w:sz="4" w:space="0"/>
            </w:tcBorders>
            <w:tcW w:w="680" w:type="dxa"/>
            <w:vAlign w:val="center"/>
            <w:textDirection w:val="lrTb"/>
            <w:noWrap w:val="false"/>
          </w:tcPr>
          <w:p>
            <w:pPr>
              <w:jc w:val="center"/>
              <w:rPr>
                <w:rFonts w:hint="eastAsia"/>
                <w:sz w:val="20"/>
                <w:szCs w:val="20"/>
              </w:rPr>
            </w:pPr>
            <w:r>
              <w:rPr>
                <w:rFonts w:hint="eastAsia"/>
                <w:sz w:val="20"/>
                <w:szCs w:val="20"/>
              </w:rPr>
              <w:t xml:space="preserve">只</w:t>
            </w:r>
            <w:r/>
          </w:p>
        </w:tc>
        <w:tc>
          <w:tcPr>
            <w:tcBorders>
              <w:top w:val="none" w:color="000000" w:sz="4" w:space="0"/>
              <w:left w:val="none" w:color="000000" w:sz="4" w:space="0"/>
              <w:bottom w:val="single" w:color="auto" w:sz="4" w:space="0"/>
              <w:right w:val="single" w:color="auto" w:sz="4" w:space="0"/>
            </w:tcBorders>
            <w:tcW w:w="631" w:type="dxa"/>
            <w:vAlign w:val="center"/>
            <w:textDirection w:val="lrTb"/>
            <w:noWrap w:val="false"/>
          </w:tcPr>
          <w:p>
            <w:pPr>
              <w:jc w:val="center"/>
              <w:rPr>
                <w:rFonts w:hint="eastAsia"/>
                <w:sz w:val="20"/>
                <w:szCs w:val="20"/>
              </w:rPr>
            </w:pPr>
            <w:r>
              <w:rPr>
                <w:rFonts w:hint="eastAsia"/>
                <w:sz w:val="20"/>
                <w:szCs w:val="20"/>
              </w:rPr>
              <w:t xml:space="preserve">97</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rPr>
            </w:pPr>
            <w:r>
              <w:rPr>
                <w:rFonts w:hint="eastAsia"/>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71</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洗地龙头</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val="false"/>
          </w:tcPr>
          <w:p>
            <w:pP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1、开放式洗地龙头、碳钢主体，表面环氧喷涂处理（黑色）；</w:t>
            </w:r>
            <w:r>
              <w:rPr>
                <w:rFonts w:hint="eastAsia"/>
                <w:sz w:val="20"/>
                <w:szCs w:val="20"/>
              </w:rPr>
              <w:br/>
              <w:t xml:space="preserve">2、固定侧支架钢板厚度5mm(±5%），黄铜进水主体；</w:t>
            </w:r>
            <w:r>
              <w:rPr>
                <w:rFonts w:hint="eastAsia"/>
                <w:sz w:val="20"/>
                <w:szCs w:val="20"/>
              </w:rPr>
              <w:br/>
              <w:t xml:space="preserve">3、10.7(±5%）米重工无痕三层液压钢丝管（黑色）、与主体接口为金属连接件不易损坏漏水，喉管耐温85度(±5%），极限耐压18mpa，0.1mpa测试水枪每分钟4.9L水流量，射程3-4M；</w:t>
            </w:r>
            <w:r>
              <w:rPr>
                <w:rFonts w:hint="eastAsia"/>
                <w:sz w:val="20"/>
                <w:szCs w:val="20"/>
              </w:rPr>
              <w:br/>
              <w:t xml:space="preserve">4、黄铜铸造枪式喷头、前置扳机、配有橡胶保护套水压可调（配置一把喷头）；</w:t>
            </w:r>
            <w:r>
              <w:rPr>
                <w:rFonts w:hint="eastAsia"/>
                <w:sz w:val="20"/>
                <w:szCs w:val="20"/>
              </w:rPr>
              <w:br/>
              <w:t xml:space="preserve">5、进水接口为标准304#不锈钢G1/2外螺纹。</w:t>
            </w:r>
            <w:r/>
          </w:p>
        </w:tc>
        <w:tc>
          <w:tcPr>
            <w:tcBorders>
              <w:top w:val="none" w:color="000000" w:sz="4" w:space="0"/>
              <w:left w:val="none" w:color="000000" w:sz="4" w:space="0"/>
              <w:bottom w:val="single" w:color="auto" w:sz="4" w:space="0"/>
              <w:right w:val="single" w:color="auto" w:sz="4" w:space="0"/>
            </w:tcBorders>
            <w:tcW w:w="680" w:type="dxa"/>
            <w:vAlign w:val="center"/>
            <w:textDirection w:val="lrTb"/>
            <w:noWrap w:val="false"/>
          </w:tcPr>
          <w:p>
            <w:pPr>
              <w:jc w:val="center"/>
              <w:rPr>
                <w:rFonts w:hint="eastAsia"/>
                <w:sz w:val="20"/>
                <w:szCs w:val="20"/>
              </w:rPr>
            </w:pPr>
            <w:r>
              <w:rPr>
                <w:rFonts w:hint="eastAsia"/>
                <w:sz w:val="20"/>
                <w:szCs w:val="20"/>
              </w:rPr>
              <w:t xml:space="preserve">只</w:t>
            </w:r>
            <w:r/>
          </w:p>
        </w:tc>
        <w:tc>
          <w:tcPr>
            <w:tcBorders>
              <w:top w:val="none" w:color="000000" w:sz="4" w:space="0"/>
              <w:left w:val="none" w:color="000000" w:sz="4" w:space="0"/>
              <w:bottom w:val="single" w:color="auto" w:sz="4" w:space="0"/>
              <w:right w:val="single" w:color="auto" w:sz="4" w:space="0"/>
            </w:tcBorders>
            <w:tcW w:w="631" w:type="dxa"/>
            <w:vAlign w:val="center"/>
            <w:textDirection w:val="lrTb"/>
            <w:noWrap/>
          </w:tcPr>
          <w:p>
            <w:pPr>
              <w:jc w:val="center"/>
              <w:rPr>
                <w:rFonts w:hint="eastAsia"/>
                <w:sz w:val="20"/>
                <w:szCs w:val="20"/>
              </w:rPr>
            </w:pPr>
            <w:r>
              <w:rPr>
                <w:rFonts w:hint="eastAsia"/>
                <w:sz w:val="20"/>
                <w:szCs w:val="20"/>
              </w:rPr>
              <w:t xml:space="preserve">7</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rPr>
            </w:pPr>
            <w:r>
              <w:rPr>
                <w:rFonts w:hint="eastAsia"/>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72</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摇摆水龙头1</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val="false"/>
          </w:tcPr>
          <w:p>
            <w:pP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1、单孔主体黄铜铸造，表面抛光铜镍铬处理。</w:t>
            </w:r>
            <w:r>
              <w:rPr>
                <w:rFonts w:hint="eastAsia"/>
                <w:sz w:val="20"/>
                <w:szCs w:val="20"/>
              </w:rPr>
              <w:br/>
              <w:t xml:space="preserve">2、加厚款黄铜陶瓷阀芯，紧固的六角锌合金双手柄，不易松动。</w:t>
            </w:r>
            <w:r>
              <w:rPr>
                <w:rFonts w:hint="eastAsia"/>
                <w:sz w:val="20"/>
                <w:szCs w:val="20"/>
              </w:rPr>
              <w:br/>
              <w:t xml:space="preserve">3、黄铜水嘴，304 钢丝节能起泡器，两侧留有钳口位，堵塞便捷更换。</w:t>
            </w:r>
            <w:r>
              <w:rPr>
                <w:rFonts w:hint="eastAsia"/>
                <w:sz w:val="20"/>
                <w:szCs w:val="20"/>
              </w:rPr>
              <w:br/>
              <w:t xml:space="preserve">4、具备长时间使用防止主体松动特制工艺，采用优质丁晴胶耐磨防漏。</w:t>
            </w:r>
            <w:r>
              <w:rPr>
                <w:rFonts w:hint="eastAsia"/>
                <w:sz w:val="20"/>
                <w:szCs w:val="20"/>
              </w:rPr>
              <w:br/>
              <w:t xml:space="preserve">5、适于安装在商业厨房炉灶的使用。</w:t>
            </w:r>
            <w:r/>
          </w:p>
        </w:tc>
        <w:tc>
          <w:tcPr>
            <w:tcBorders>
              <w:top w:val="none" w:color="000000" w:sz="4" w:space="0"/>
              <w:left w:val="none" w:color="000000" w:sz="4" w:space="0"/>
              <w:bottom w:val="single" w:color="auto" w:sz="4" w:space="0"/>
              <w:right w:val="single" w:color="auto" w:sz="4" w:space="0"/>
            </w:tcBorders>
            <w:tcW w:w="680" w:type="dxa"/>
            <w:vAlign w:val="center"/>
            <w:textDirection w:val="lrTb"/>
            <w:noWrap/>
          </w:tcPr>
          <w:p>
            <w:pPr>
              <w:jc w:val="center"/>
              <w:rPr>
                <w:rFonts w:hint="eastAsia"/>
                <w:sz w:val="20"/>
                <w:szCs w:val="20"/>
              </w:rPr>
            </w:pPr>
            <w:r>
              <w:rPr>
                <w:rFonts w:hint="eastAsia"/>
                <w:sz w:val="20"/>
                <w:szCs w:val="20"/>
              </w:rPr>
              <w:t xml:space="preserve">只</w:t>
            </w:r>
            <w:r/>
          </w:p>
        </w:tc>
        <w:tc>
          <w:tcPr>
            <w:tcBorders>
              <w:top w:val="none" w:color="000000" w:sz="4" w:space="0"/>
              <w:left w:val="none" w:color="000000" w:sz="4" w:space="0"/>
              <w:bottom w:val="single" w:color="000000" w:sz="4" w:space="0"/>
              <w:right w:val="single" w:color="000000" w:sz="4" w:space="0"/>
            </w:tcBorders>
            <w:tcW w:w="631" w:type="dxa"/>
            <w:vAlign w:val="center"/>
            <w:textDirection w:val="lrTb"/>
            <w:noWrap/>
          </w:tcPr>
          <w:p>
            <w:pPr>
              <w:jc w:val="center"/>
              <w:rPr>
                <w:rFonts w:hint="eastAsia"/>
                <w:sz w:val="20"/>
                <w:szCs w:val="20"/>
              </w:rPr>
            </w:pPr>
            <w:r>
              <w:rPr>
                <w:rFonts w:hint="eastAsia"/>
                <w:sz w:val="20"/>
                <w:szCs w:val="20"/>
              </w:rPr>
              <w:t xml:space="preserve">5</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sz w:val="20"/>
                <w:szCs w:val="20"/>
              </w:rPr>
            </w:pPr>
            <w:r>
              <w:rPr>
                <w:rFonts w:hint="eastAsia"/>
                <w:sz w:val="20"/>
                <w:szCs w:val="20"/>
              </w:rPr>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rPr>
            </w:pPr>
            <w:r>
              <w:rPr>
                <w:rFonts w:hint="eastAsia"/>
                <w:sz w:val="20"/>
                <w:szCs w:val="20"/>
              </w:rPr>
              <w:t xml:space="preserve">用于单头单尾炒灶</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73</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摇摆水龙头2</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val="false"/>
          </w:tcPr>
          <w:p>
            <w:pP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1、单孔主体黄铜铸造，表面抛光铜镍铬处理。</w:t>
            </w:r>
            <w:r>
              <w:rPr>
                <w:rFonts w:hint="eastAsia"/>
                <w:sz w:val="20"/>
                <w:szCs w:val="20"/>
              </w:rPr>
              <w:br/>
              <w:t xml:space="preserve">2、加厚款黄铜陶瓷阀芯，紧固的六角锌合金双手柄，不易松动。</w:t>
            </w:r>
            <w:r>
              <w:rPr>
                <w:rFonts w:hint="eastAsia"/>
                <w:sz w:val="20"/>
                <w:szCs w:val="20"/>
              </w:rPr>
              <w:br/>
              <w:t xml:space="preserve">3、黄铜水嘴，304 钢丝节能起泡器，两侧留有钳口位，堵塞便捷更换。</w:t>
            </w:r>
            <w:r>
              <w:rPr>
                <w:rFonts w:hint="eastAsia"/>
                <w:sz w:val="20"/>
                <w:szCs w:val="20"/>
              </w:rPr>
              <w:br/>
              <w:t xml:space="preserve">4、具备长时间使用防止主体松动特制工艺，采用优质丁晴胶耐磨防漏。</w:t>
            </w:r>
            <w:r>
              <w:rPr>
                <w:rFonts w:hint="eastAsia"/>
                <w:sz w:val="20"/>
                <w:szCs w:val="20"/>
              </w:rPr>
              <w:br/>
              <w:t xml:space="preserve">5、适于安装在商业厨房炉灶的使用。</w:t>
            </w:r>
            <w:r/>
          </w:p>
        </w:tc>
        <w:tc>
          <w:tcPr>
            <w:tcBorders>
              <w:top w:val="none" w:color="000000" w:sz="4" w:space="0"/>
              <w:left w:val="none" w:color="000000" w:sz="4" w:space="0"/>
              <w:bottom w:val="single" w:color="auto" w:sz="4" w:space="0"/>
              <w:right w:val="single" w:color="auto" w:sz="4" w:space="0"/>
            </w:tcBorders>
            <w:tcW w:w="680" w:type="dxa"/>
            <w:vAlign w:val="center"/>
            <w:textDirection w:val="lrTb"/>
            <w:noWrap/>
          </w:tcPr>
          <w:p>
            <w:pPr>
              <w:jc w:val="center"/>
              <w:rPr>
                <w:rFonts w:hint="eastAsia"/>
                <w:sz w:val="20"/>
                <w:szCs w:val="20"/>
              </w:rPr>
            </w:pPr>
            <w:r>
              <w:rPr>
                <w:rFonts w:hint="eastAsia"/>
                <w:sz w:val="20"/>
                <w:szCs w:val="20"/>
              </w:rPr>
              <w:t xml:space="preserve">只</w:t>
            </w:r>
            <w:r/>
          </w:p>
        </w:tc>
        <w:tc>
          <w:tcPr>
            <w:tcBorders>
              <w:top w:val="none" w:color="000000" w:sz="4" w:space="0"/>
              <w:left w:val="none" w:color="000000" w:sz="4" w:space="0"/>
              <w:bottom w:val="single" w:color="000000" w:sz="4" w:space="0"/>
              <w:right w:val="single" w:color="000000" w:sz="4" w:space="0"/>
            </w:tcBorders>
            <w:tcW w:w="631" w:type="dxa"/>
            <w:vAlign w:val="center"/>
            <w:textDirection w:val="lrTb"/>
            <w:noWrap/>
          </w:tcPr>
          <w:p>
            <w:pPr>
              <w:jc w:val="center"/>
              <w:rPr>
                <w:rFonts w:hint="eastAsia"/>
                <w:sz w:val="20"/>
                <w:szCs w:val="20"/>
              </w:rPr>
            </w:pPr>
            <w:r>
              <w:rPr>
                <w:rFonts w:hint="eastAsia"/>
                <w:sz w:val="20"/>
                <w:szCs w:val="20"/>
              </w:rPr>
              <w:t xml:space="preserve">5</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sz w:val="20"/>
                <w:szCs w:val="20"/>
              </w:rPr>
            </w:pPr>
            <w:r>
              <w:rPr>
                <w:rFonts w:hint="eastAsia"/>
                <w:sz w:val="20"/>
                <w:szCs w:val="20"/>
              </w:rPr>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rPr>
            </w:pPr>
            <w:r>
              <w:rPr>
                <w:rFonts w:hint="eastAsia"/>
                <w:sz w:val="20"/>
                <w:szCs w:val="20"/>
              </w:rPr>
              <w:t xml:space="preserve">用于双头大锅灶</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74</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摇摆水龙头3</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val="false"/>
          </w:tcPr>
          <w:p>
            <w:pP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1、单孔主体黄铜铸造，表面抛光铜镍铬处理。</w:t>
            </w:r>
            <w:r>
              <w:rPr>
                <w:rFonts w:hint="eastAsia"/>
                <w:sz w:val="20"/>
                <w:szCs w:val="20"/>
              </w:rPr>
              <w:br/>
              <w:t xml:space="preserve">2、加厚款黄铜陶瓷阀芯，紧固的六角锌合金双手柄，不易松动。</w:t>
            </w:r>
            <w:r>
              <w:rPr>
                <w:rFonts w:hint="eastAsia"/>
                <w:sz w:val="20"/>
                <w:szCs w:val="20"/>
              </w:rPr>
              <w:br/>
              <w:t xml:space="preserve">3、黄铜水嘴，304 钢丝节能起泡器，两侧留有钳口位，堵塞便捷更换。</w:t>
            </w:r>
            <w:r>
              <w:rPr>
                <w:rFonts w:hint="eastAsia"/>
                <w:sz w:val="20"/>
                <w:szCs w:val="20"/>
              </w:rPr>
              <w:br/>
              <w:t xml:space="preserve">4、具备长时间使用防止主体松动特制工艺，采用优质丁晴胶耐磨防漏。</w:t>
            </w:r>
            <w:r>
              <w:rPr>
                <w:rFonts w:hint="eastAsia"/>
                <w:sz w:val="20"/>
                <w:szCs w:val="20"/>
              </w:rPr>
              <w:br/>
              <w:t xml:space="preserve">5、适于安装在商业厨房炉灶的使用。</w:t>
            </w:r>
            <w:r/>
          </w:p>
        </w:tc>
        <w:tc>
          <w:tcPr>
            <w:tcBorders>
              <w:top w:val="none" w:color="000000" w:sz="4" w:space="0"/>
              <w:left w:val="none" w:color="000000" w:sz="4" w:space="0"/>
              <w:bottom w:val="single" w:color="auto" w:sz="4" w:space="0"/>
              <w:right w:val="single" w:color="auto" w:sz="4" w:space="0"/>
            </w:tcBorders>
            <w:tcW w:w="680" w:type="dxa"/>
            <w:vAlign w:val="center"/>
            <w:textDirection w:val="lrTb"/>
            <w:noWrap/>
          </w:tcPr>
          <w:p>
            <w:pPr>
              <w:jc w:val="center"/>
              <w:rPr>
                <w:rFonts w:hint="eastAsia"/>
                <w:sz w:val="20"/>
                <w:szCs w:val="20"/>
              </w:rPr>
            </w:pPr>
            <w:r>
              <w:rPr>
                <w:rFonts w:hint="eastAsia"/>
                <w:sz w:val="20"/>
                <w:szCs w:val="20"/>
              </w:rPr>
              <w:t xml:space="preserve">只</w:t>
            </w:r>
            <w:r/>
          </w:p>
        </w:tc>
        <w:tc>
          <w:tcPr>
            <w:tcBorders>
              <w:top w:val="none" w:color="000000" w:sz="4" w:space="0"/>
              <w:left w:val="none" w:color="000000" w:sz="4" w:space="0"/>
              <w:bottom w:val="single" w:color="000000" w:sz="4" w:space="0"/>
              <w:right w:val="single" w:color="000000" w:sz="4" w:space="0"/>
            </w:tcBorders>
            <w:tcW w:w="631" w:type="dxa"/>
            <w:vAlign w:val="center"/>
            <w:textDirection w:val="lrTb"/>
            <w:noWrap/>
          </w:tcPr>
          <w:p>
            <w:pPr>
              <w:jc w:val="center"/>
              <w:rPr>
                <w:rFonts w:hint="eastAsia"/>
                <w:sz w:val="20"/>
                <w:szCs w:val="20"/>
              </w:rPr>
            </w:pPr>
            <w:r>
              <w:rPr>
                <w:rFonts w:hint="eastAsia"/>
                <w:sz w:val="20"/>
                <w:szCs w:val="20"/>
              </w:rPr>
              <w:t xml:space="preserve">5</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sz w:val="20"/>
                <w:szCs w:val="20"/>
              </w:rPr>
            </w:pPr>
            <w:r>
              <w:rPr>
                <w:rFonts w:hint="eastAsia"/>
                <w:sz w:val="20"/>
                <w:szCs w:val="20"/>
              </w:rPr>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rPr>
            </w:pPr>
            <w:r>
              <w:rPr>
                <w:rFonts w:hint="eastAsia"/>
                <w:sz w:val="20"/>
                <w:szCs w:val="20"/>
              </w:rPr>
              <w:t xml:space="preserve">用于双头单尾炒灶</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75</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摇摆水龙头4</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val="false"/>
          </w:tcPr>
          <w:p>
            <w:pP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1、单孔主体黄铜铸造，表面抛光铜镍铬处理。</w:t>
            </w:r>
            <w:r>
              <w:rPr>
                <w:rFonts w:hint="eastAsia"/>
                <w:sz w:val="20"/>
                <w:szCs w:val="20"/>
              </w:rPr>
              <w:br/>
              <w:t xml:space="preserve">2、加厚款黄铜陶瓷阀芯，紧固的六角锌合金双手柄，不易松动。</w:t>
            </w:r>
            <w:r>
              <w:rPr>
                <w:rFonts w:hint="eastAsia"/>
                <w:sz w:val="20"/>
                <w:szCs w:val="20"/>
              </w:rPr>
              <w:br/>
              <w:t xml:space="preserve">3、黄铜水嘴，304 钢丝节能起泡器，两侧留有钳口位，堵塞便捷更换。</w:t>
            </w:r>
            <w:r>
              <w:rPr>
                <w:rFonts w:hint="eastAsia"/>
                <w:sz w:val="20"/>
                <w:szCs w:val="20"/>
              </w:rPr>
              <w:br/>
              <w:t xml:space="preserve">4、具备长时间使用防止主体松动特制工艺，采用优质丁晴胶耐磨防漏。</w:t>
            </w:r>
            <w:r>
              <w:rPr>
                <w:rFonts w:hint="eastAsia"/>
                <w:sz w:val="20"/>
                <w:szCs w:val="20"/>
              </w:rPr>
              <w:br/>
              <w:t xml:space="preserve">5、适于安装在商业厨房炉灶的使用。</w:t>
            </w:r>
            <w:r/>
          </w:p>
        </w:tc>
        <w:tc>
          <w:tcPr>
            <w:tcBorders>
              <w:top w:val="none" w:color="000000" w:sz="4" w:space="0"/>
              <w:left w:val="none" w:color="000000" w:sz="4" w:space="0"/>
              <w:bottom w:val="single" w:color="auto" w:sz="4" w:space="0"/>
              <w:right w:val="single" w:color="auto" w:sz="4" w:space="0"/>
            </w:tcBorders>
            <w:tcW w:w="680" w:type="dxa"/>
            <w:vAlign w:val="center"/>
            <w:textDirection w:val="lrTb"/>
            <w:noWrap/>
          </w:tcPr>
          <w:p>
            <w:pPr>
              <w:jc w:val="center"/>
              <w:rPr>
                <w:rFonts w:hint="eastAsia"/>
                <w:sz w:val="20"/>
                <w:szCs w:val="20"/>
              </w:rPr>
            </w:pPr>
            <w:r>
              <w:rPr>
                <w:rFonts w:hint="eastAsia"/>
                <w:sz w:val="20"/>
                <w:szCs w:val="20"/>
              </w:rPr>
              <w:t xml:space="preserve">只</w:t>
            </w:r>
            <w:r/>
          </w:p>
        </w:tc>
        <w:tc>
          <w:tcPr>
            <w:tcBorders>
              <w:top w:val="none" w:color="000000" w:sz="4" w:space="0"/>
              <w:left w:val="none" w:color="000000" w:sz="4" w:space="0"/>
              <w:bottom w:val="single" w:color="auto" w:sz="4" w:space="0"/>
              <w:right w:val="single" w:color="auto" w:sz="4" w:space="0"/>
            </w:tcBorders>
            <w:tcW w:w="631" w:type="dxa"/>
            <w:vAlign w:val="center"/>
            <w:textDirection w:val="lrTb"/>
            <w:noWrap/>
          </w:tcPr>
          <w:p>
            <w:pPr>
              <w:jc w:val="center"/>
              <w:rPr>
                <w:rFonts w:hint="eastAsia"/>
                <w:sz w:val="20"/>
                <w:szCs w:val="20"/>
              </w:rPr>
            </w:pPr>
            <w:r>
              <w:rPr>
                <w:rFonts w:hint="eastAsia"/>
                <w:sz w:val="20"/>
                <w:szCs w:val="20"/>
              </w:rPr>
              <w:t xml:space="preserve">6</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sz w:val="20"/>
                <w:szCs w:val="20"/>
              </w:rPr>
            </w:pPr>
            <w:r>
              <w:rPr>
                <w:rFonts w:hint="eastAsia"/>
                <w:sz w:val="20"/>
                <w:szCs w:val="20"/>
              </w:rPr>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rPr>
            </w:pPr>
            <w:r>
              <w:rPr>
                <w:rFonts w:hint="eastAsia"/>
                <w:sz w:val="20"/>
                <w:szCs w:val="20"/>
              </w:rPr>
              <w:t xml:space="preserve">用于双头双尾炒灶</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76</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摇摆水龙头5</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val="false"/>
          </w:tcPr>
          <w:p>
            <w:pP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1、单孔主体黄铜铸造，表面抛光铜镍铬处理。</w:t>
            </w:r>
            <w:r>
              <w:rPr>
                <w:rFonts w:hint="eastAsia"/>
                <w:sz w:val="20"/>
                <w:szCs w:val="20"/>
              </w:rPr>
              <w:br/>
              <w:t xml:space="preserve">2、加厚款黄铜陶瓷阀芯，紧固的六角锌合金双手柄，不易松动。</w:t>
            </w:r>
            <w:r>
              <w:rPr>
                <w:rFonts w:hint="eastAsia"/>
                <w:sz w:val="20"/>
                <w:szCs w:val="20"/>
              </w:rPr>
              <w:br/>
              <w:t xml:space="preserve">3、黄铜水嘴，304 钢丝节能起泡器，两侧留有钳口位，堵塞便捷更换。</w:t>
            </w:r>
            <w:r>
              <w:rPr>
                <w:rFonts w:hint="eastAsia"/>
                <w:sz w:val="20"/>
                <w:szCs w:val="20"/>
              </w:rPr>
              <w:br/>
              <w:t xml:space="preserve">4、具备长时间使用防止主体松动特制工艺，采用优质丁晴胶耐磨防漏。</w:t>
            </w:r>
            <w:r>
              <w:rPr>
                <w:rFonts w:hint="eastAsia"/>
                <w:sz w:val="20"/>
                <w:szCs w:val="20"/>
              </w:rPr>
              <w:br/>
              <w:t xml:space="preserve">5、适于安装在商业厨房炉灶的使用。</w:t>
            </w:r>
            <w:r/>
          </w:p>
        </w:tc>
        <w:tc>
          <w:tcPr>
            <w:tcBorders>
              <w:top w:val="none" w:color="000000" w:sz="4" w:space="0"/>
              <w:left w:val="none" w:color="000000" w:sz="4" w:space="0"/>
              <w:bottom w:val="single" w:color="auto" w:sz="4" w:space="0"/>
              <w:right w:val="single" w:color="auto" w:sz="4" w:space="0"/>
            </w:tcBorders>
            <w:tcW w:w="680" w:type="dxa"/>
            <w:vAlign w:val="center"/>
            <w:textDirection w:val="lrTb"/>
            <w:noWrap/>
          </w:tcPr>
          <w:p>
            <w:pPr>
              <w:jc w:val="center"/>
              <w:rPr>
                <w:rFonts w:hint="eastAsia"/>
                <w:sz w:val="20"/>
                <w:szCs w:val="20"/>
              </w:rPr>
            </w:pPr>
            <w:r>
              <w:rPr>
                <w:rFonts w:hint="eastAsia"/>
                <w:sz w:val="20"/>
                <w:szCs w:val="20"/>
              </w:rPr>
              <w:t xml:space="preserve">只</w:t>
            </w:r>
            <w:r/>
          </w:p>
        </w:tc>
        <w:tc>
          <w:tcPr>
            <w:tcBorders>
              <w:top w:val="none" w:color="000000" w:sz="4" w:space="0"/>
              <w:left w:val="none" w:color="000000" w:sz="4" w:space="0"/>
              <w:bottom w:val="single" w:color="000000" w:sz="4" w:space="0"/>
              <w:right w:val="single" w:color="000000" w:sz="4" w:space="0"/>
            </w:tcBorders>
            <w:tcW w:w="631" w:type="dxa"/>
            <w:vAlign w:val="center"/>
            <w:textDirection w:val="lrTb"/>
            <w:noWrap/>
          </w:tcPr>
          <w:p>
            <w:pPr>
              <w:jc w:val="center"/>
              <w:rPr>
                <w:rFonts w:hint="eastAsia"/>
                <w:sz w:val="20"/>
                <w:szCs w:val="20"/>
              </w:rPr>
            </w:pPr>
            <w:r>
              <w:rPr>
                <w:rFonts w:hint="eastAsia"/>
                <w:sz w:val="20"/>
                <w:szCs w:val="20"/>
              </w:rPr>
              <w:t xml:space="preserve">1</w:t>
            </w:r>
            <w:r/>
          </w:p>
        </w:tc>
        <w:tc>
          <w:tcPr>
            <w:tcBorders>
              <w:top w:val="none" w:color="000000" w:sz="4" w:space="0"/>
              <w:left w:val="none" w:color="000000" w:sz="4" w:space="0"/>
              <w:bottom w:val="single" w:color="000000" w:sz="4" w:space="0"/>
              <w:right w:val="single" w:color="000000" w:sz="4" w:space="0"/>
            </w:tcBorders>
            <w:tcW w:w="1630" w:type="dxa"/>
            <w:vAlign w:val="center"/>
            <w:textDirection w:val="lrTb"/>
            <w:noWrap w:val="false"/>
          </w:tcPr>
          <w:p>
            <w:pPr>
              <w:rPr>
                <w:rFonts w:hint="eastAsia"/>
                <w:sz w:val="20"/>
                <w:szCs w:val="20"/>
              </w:rPr>
            </w:pPr>
            <w:r>
              <w:rPr>
                <w:rFonts w:hint="eastAsia"/>
                <w:sz w:val="20"/>
                <w:szCs w:val="20"/>
              </w:rPr>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rPr>
            </w:pPr>
            <w:r>
              <w:rPr>
                <w:rFonts w:hint="eastAsia"/>
                <w:sz w:val="20"/>
                <w:szCs w:val="20"/>
              </w:rPr>
              <w:t xml:space="preserve">用于大锅灶连单炒单尾</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b/>
                <w:bCs/>
                <w:sz w:val="20"/>
                <w:szCs w:val="20"/>
              </w:rPr>
            </w:pPr>
            <w:r>
              <w:rPr>
                <w:rFonts w:hint="eastAsia"/>
                <w:b/>
                <w:bCs/>
                <w:sz w:val="20"/>
                <w:szCs w:val="20"/>
              </w:rPr>
              <w:t xml:space="preserve">六</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b/>
                <w:bCs/>
                <w:sz w:val="20"/>
                <w:szCs w:val="20"/>
              </w:rPr>
            </w:pPr>
            <w:r>
              <w:rPr>
                <w:rFonts w:hint="eastAsia"/>
                <w:b/>
                <w:bCs/>
                <w:sz w:val="20"/>
                <w:szCs w:val="20"/>
              </w:rPr>
              <w:t xml:space="preserve">净水器</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680"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631"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77</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净水器</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1、出水速度：≥6L/min；</w:t>
            </w:r>
            <w:r>
              <w:rPr>
                <w:rFonts w:hint="eastAsia"/>
                <w:sz w:val="20"/>
                <w:szCs w:val="20"/>
              </w:rPr>
              <w:br/>
              <w:t xml:space="preserve">2、其它性能：内胆材质食用级聚合物，水压范围10-150psi，禁水锤；</w:t>
            </w:r>
            <w:r>
              <w:rPr>
                <w:rFonts w:hint="eastAsia"/>
                <w:sz w:val="20"/>
                <w:szCs w:val="20"/>
              </w:rPr>
              <w:br/>
              <w:t xml:space="preserve">3、去除：沉淀物、余氯/异味、孢子包囊、抑制水垢；</w:t>
            </w:r>
            <w:r>
              <w:rPr>
                <w:rFonts w:hint="eastAsia"/>
                <w:sz w:val="20"/>
                <w:szCs w:val="20"/>
              </w:rPr>
              <w:br/>
              <w:t xml:space="preserve">4、精度：≤0.5</w:t>
            </w:r>
            <w:r>
              <w:rPr>
                <w:rFonts w:ascii="Calibri" w:hAnsi="Calibri" w:cs="Calibri"/>
                <w:sz w:val="20"/>
                <w:szCs w:val="20"/>
              </w:rPr>
              <w:t xml:space="preserve">μ</w:t>
            </w:r>
            <w:r>
              <w:rPr>
                <w:rFonts w:hint="eastAsia"/>
                <w:sz w:val="20"/>
                <w:szCs w:val="20"/>
              </w:rPr>
              <w:t xml:space="preserve">m</w:t>
            </w:r>
            <w:r>
              <w:rPr>
                <w:rFonts w:hint="eastAsia"/>
                <w:sz w:val="20"/>
                <w:szCs w:val="20"/>
              </w:rPr>
              <w:br/>
              <w:t xml:space="preserve">5、温度范围：2-38℃；</w:t>
            </w:r>
            <w:r>
              <w:rPr>
                <w:rFonts w:hint="eastAsia"/>
                <w:sz w:val="20"/>
                <w:szCs w:val="20"/>
              </w:rPr>
              <w:br/>
              <w:t xml:space="preserve">6、滤芯寿命：≥30000L。</w:t>
            </w:r>
            <w:r>
              <w:rPr>
                <w:rFonts w:hint="eastAsia"/>
                <w:sz w:val="20"/>
                <w:szCs w:val="20"/>
              </w:rPr>
              <w:br/>
            </w:r>
            <w:r>
              <w:rPr>
                <w:rFonts w:hint="eastAsia"/>
                <w:color w:val="ee0000"/>
                <w:sz w:val="20"/>
                <w:szCs w:val="20"/>
              </w:rPr>
              <w:t xml:space="preserve">★</w:t>
            </w:r>
            <w:r>
              <w:rPr>
                <w:rFonts w:hint="eastAsia"/>
                <w:color w:val="ee0000"/>
                <w:sz w:val="20"/>
                <w:szCs w:val="20"/>
              </w:rPr>
              <w:t xml:space="preserve">7、</w:t>
            </w:r>
            <w:r>
              <w:rPr>
                <w:rFonts w:hint="eastAsia"/>
                <w:color w:val="ee0000"/>
                <w:sz w:val="20"/>
                <w:szCs w:val="20"/>
              </w:rPr>
              <w:t xml:space="preserve">依据GB 34914-2021净水机水效限定值及水效等级，水效等级：净水产水率1级。</w:t>
            </w:r>
            <w:r/>
          </w:p>
        </w:tc>
        <w:tc>
          <w:tcPr>
            <w:tcBorders>
              <w:top w:val="none" w:color="000000" w:sz="4" w:space="0"/>
              <w:left w:val="none" w:color="000000" w:sz="4" w:space="0"/>
              <w:bottom w:val="single" w:color="auto" w:sz="4" w:space="0"/>
              <w:right w:val="single" w:color="auto"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31" w:type="dxa"/>
            <w:vAlign w:val="center"/>
            <w:textDirection w:val="lrTb"/>
            <w:noWrap/>
          </w:tcPr>
          <w:p>
            <w:pPr>
              <w:jc w:val="center"/>
              <w:rPr>
                <w:rFonts w:hint="eastAsia"/>
                <w:sz w:val="20"/>
                <w:szCs w:val="20"/>
              </w:rPr>
            </w:pPr>
            <w:r>
              <w:rPr>
                <w:rFonts w:hint="eastAsia"/>
                <w:sz w:val="20"/>
                <w:szCs w:val="20"/>
              </w:rPr>
              <w:t xml:space="preserve">20</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rPr>
            </w:pPr>
            <w:r>
              <w:rPr>
                <w:rFonts w:hint="eastAsia"/>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b/>
                <w:bCs/>
                <w:sz w:val="20"/>
                <w:szCs w:val="20"/>
              </w:rPr>
            </w:pPr>
            <w:r>
              <w:rPr>
                <w:rFonts w:hint="eastAsia"/>
                <w:b/>
                <w:bCs/>
                <w:sz w:val="20"/>
                <w:szCs w:val="20"/>
              </w:rPr>
              <w:t xml:space="preserve">七</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b/>
                <w:bCs/>
                <w:sz w:val="20"/>
                <w:szCs w:val="20"/>
              </w:rPr>
            </w:pPr>
            <w:r>
              <w:rPr>
                <w:rFonts w:hint="eastAsia"/>
                <w:b/>
                <w:bCs/>
                <w:sz w:val="20"/>
                <w:szCs w:val="20"/>
              </w:rPr>
              <w:t xml:space="preserve">冷库</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680"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631"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rPr>
            </w:pPr>
            <w:r>
              <w:rPr>
                <w:rFonts w:hint="eastAsia"/>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78</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val="false"/>
          </w:tcPr>
          <w:p>
            <w:pPr>
              <w:rPr>
                <w:rFonts w:hint="eastAsia"/>
                <w:sz w:val="20"/>
                <w:szCs w:val="20"/>
              </w:rPr>
            </w:pPr>
            <w:r>
              <w:rPr>
                <w:rFonts w:hint="eastAsia"/>
                <w:sz w:val="20"/>
                <w:szCs w:val="20"/>
              </w:rPr>
              <w:t xml:space="preserve">下沉式冷藏库</w:t>
            </w:r>
            <w:r>
              <w:rPr>
                <w:rFonts w:hint="eastAsia"/>
                <w:sz w:val="20"/>
                <w:szCs w:val="20"/>
              </w:rPr>
              <w:br/>
              <w:t xml:space="preserve">（-1~+4℃）</w:t>
            </w: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tcPr>
          <w:p>
            <w:pPr>
              <w:rPr>
                <w:rFonts w:hint="eastAsia"/>
                <w:sz w:val="20"/>
                <w:szCs w:val="20"/>
              </w:rPr>
            </w:pPr>
            <w:r>
              <w:rPr>
                <w:rFonts w:hint="eastAsia"/>
                <w:sz w:val="20"/>
                <w:szCs w:val="20"/>
              </w:rPr>
              <w:t xml:space="preserve">6000*5500*2600</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1、冷库板（墙板与天板）采用双面SUS304不锈钢，厚度≥0.8mm，圆角圆边，库板厚度：≥100mm；</w:t>
            </w:r>
            <w:r>
              <w:rPr>
                <w:rFonts w:hint="eastAsia"/>
                <w:sz w:val="20"/>
                <w:szCs w:val="20"/>
              </w:rPr>
              <w:br/>
              <w:t xml:space="preserve">2、库底板釆用嵌入式、与冷库外厨房地坪正负零；</w:t>
            </w:r>
            <w:r>
              <w:rPr>
                <w:rFonts w:hint="eastAsia"/>
                <w:sz w:val="20"/>
                <w:szCs w:val="20"/>
              </w:rPr>
              <w:br/>
              <w:t xml:space="preserve">3、配1套压缩机机组和冷风机组，冷库内用保温层厚≥40mm的304不锈钢双面板，分隔鸡蛋库1个，面板板厚≥1.0mm；上下循环风温控1套；门1樘；</w:t>
            </w:r>
            <w:r>
              <w:rPr>
                <w:rFonts w:hint="eastAsia"/>
                <w:sz w:val="20"/>
                <w:szCs w:val="20"/>
              </w:rPr>
              <w:br/>
              <w:t xml:space="preserve">4、库板系统对化学品稳定而且达到国家洁净卫生标准，库内外表面平整光滑，接口严密；</w:t>
            </w:r>
            <w:r>
              <w:rPr>
                <w:rFonts w:hint="eastAsia"/>
                <w:sz w:val="20"/>
                <w:szCs w:val="20"/>
              </w:rPr>
              <w:br/>
              <w:t xml:space="preserve">5、自动回归扫地门，门锁为安全式门锁，</w:t>
            </w:r>
            <w:r>
              <w:rPr>
                <w:rFonts w:hint="eastAsia"/>
                <w:sz w:val="20"/>
                <w:szCs w:val="20"/>
              </w:rPr>
              <w:t xml:space="preserve">以保证冷库内的人在门上锁后亦可推出，门框需装有发热线，以防结露，自带过热保护装置，温度控制在65℃，当超过时会自动断开，防止门框温度过高而导致库门密封胶条发热变形，确保库门的气密性，门框发热线凹槽为可拆卸式，方便发热线更换；</w:t>
            </w:r>
            <w:r>
              <w:rPr>
                <w:rFonts w:hint="eastAsia"/>
                <w:sz w:val="20"/>
                <w:szCs w:val="20"/>
              </w:rPr>
              <w:br/>
              <w:t xml:space="preserve">6、冷库库板与库板的连接使用定制凸轮式偏心勾锁快速自锁扣安装，凸轮钩锁采用锌合金转轴，凸轮式偏心勾锁的拉力达到1.5 kPa以上，确保多次旋转也不会失去钩锁功能；每块库板的凸轮式偏心勾锁的数量定义为，长端每间隔800mm/个、宽端每间隔590mm/个。</w:t>
            </w:r>
            <w:r/>
          </w:p>
        </w:tc>
        <w:tc>
          <w:tcPr>
            <w:tcBorders>
              <w:top w:val="none" w:color="000000" w:sz="4" w:space="0"/>
              <w:left w:val="none" w:color="000000" w:sz="4" w:space="0"/>
              <w:bottom w:val="single" w:color="auto" w:sz="4" w:space="0"/>
              <w:right w:val="single" w:color="auto" w:sz="4" w:space="0"/>
            </w:tcBorders>
            <w:tcW w:w="680" w:type="dxa"/>
            <w:vAlign w:val="center"/>
            <w:textDirection w:val="lrTb"/>
            <w:noWrap/>
          </w:tcPr>
          <w:p>
            <w:pPr>
              <w:jc w:val="center"/>
              <w:rPr>
                <w:rFonts w:hint="eastAsia"/>
                <w:sz w:val="20"/>
                <w:szCs w:val="20"/>
              </w:rPr>
            </w:pPr>
            <w:r>
              <w:rPr>
                <w:rFonts w:hint="eastAsia"/>
                <w:sz w:val="20"/>
                <w:szCs w:val="20"/>
              </w:rPr>
              <w:t xml:space="preserve">座</w:t>
            </w:r>
            <w:r/>
          </w:p>
        </w:tc>
        <w:tc>
          <w:tcPr>
            <w:tcBorders>
              <w:top w:val="none" w:color="000000" w:sz="4" w:space="0"/>
              <w:left w:val="none" w:color="000000" w:sz="4" w:space="0"/>
              <w:bottom w:val="single" w:color="000000" w:sz="4" w:space="0"/>
              <w:right w:val="single" w:color="000000" w:sz="4" w:space="0"/>
            </w:tcBorders>
            <w:tcW w:w="631" w:type="dxa"/>
            <w:vAlign w:val="center"/>
            <w:textDirection w:val="lrTb"/>
            <w:noWrap/>
          </w:tcPr>
          <w:p>
            <w:pPr>
              <w:jc w:val="center"/>
              <w:rPr>
                <w:rFonts w:hint="eastAsia"/>
                <w:sz w:val="20"/>
                <w:szCs w:val="20"/>
              </w:rPr>
            </w:pPr>
            <w:r>
              <w:rPr>
                <w:rFonts w:hint="eastAsia"/>
                <w:sz w:val="20"/>
                <w:szCs w:val="20"/>
              </w:rPr>
              <w:t xml:space="preserve">1</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rPr>
            </w:pPr>
            <w:r>
              <w:rPr>
                <w:rFonts w:hint="eastAsia"/>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79</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val="false"/>
          </w:tcPr>
          <w:p>
            <w:pPr>
              <w:rPr>
                <w:rFonts w:hint="eastAsia"/>
                <w:sz w:val="20"/>
                <w:szCs w:val="20"/>
              </w:rPr>
            </w:pPr>
            <w:r>
              <w:rPr>
                <w:rFonts w:hint="eastAsia"/>
                <w:sz w:val="20"/>
                <w:szCs w:val="20"/>
              </w:rPr>
              <w:t xml:space="preserve">下沉式冷冻库</w:t>
            </w:r>
            <w:r>
              <w:rPr>
                <w:rFonts w:hint="eastAsia"/>
                <w:sz w:val="20"/>
                <w:szCs w:val="20"/>
              </w:rPr>
              <w:br/>
              <w:t xml:space="preserve">（-25~-15℃）</w:t>
            </w: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tcPr>
          <w:p>
            <w:pPr>
              <w:rPr>
                <w:rFonts w:hint="eastAsia"/>
                <w:sz w:val="20"/>
                <w:szCs w:val="20"/>
              </w:rPr>
            </w:pPr>
            <w:r>
              <w:rPr>
                <w:rFonts w:hint="eastAsia"/>
                <w:sz w:val="20"/>
                <w:szCs w:val="20"/>
              </w:rPr>
              <w:t xml:space="preserve">7600*5400*2600</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1、冷库板（墙板与天板）采用双面SUS304不锈钢，厚度≥0.8mm，圆角圆边，库板厚度：≥100mm；</w:t>
            </w:r>
            <w:r>
              <w:rPr>
                <w:rFonts w:hint="eastAsia"/>
                <w:sz w:val="20"/>
                <w:szCs w:val="20"/>
              </w:rPr>
              <w:br/>
              <w:t xml:space="preserve">2、库底板釆用嵌入式、与冷库外厨房地坪正负零；</w:t>
            </w:r>
            <w:r>
              <w:rPr>
                <w:rFonts w:hint="eastAsia"/>
                <w:sz w:val="20"/>
                <w:szCs w:val="20"/>
              </w:rPr>
              <w:br/>
              <w:t xml:space="preserve">3、配1套压缩机机组和冷风机组；</w:t>
            </w:r>
            <w:r>
              <w:rPr>
                <w:rFonts w:hint="eastAsia"/>
                <w:sz w:val="20"/>
                <w:szCs w:val="20"/>
              </w:rPr>
              <w:br/>
              <w:t xml:space="preserve">4、库板系统对化学品稳定而且达到国家洁净卫生标准，库内外表面平整光滑，接口严密；</w:t>
            </w:r>
            <w:r>
              <w:rPr>
                <w:rFonts w:hint="eastAsia"/>
                <w:sz w:val="20"/>
                <w:szCs w:val="20"/>
              </w:rPr>
              <w:br/>
              <w:t xml:space="preserve">5、自动回归扫地门，门锁为安全式门锁，以保证冷库内的人在门上锁后亦可推出，门框需装有发热线以防结露，自带过热保护装置，温度控制在65℃，当超过时会自动断开，防止门框温度过高而导致库门密封胶条发热变形，确保库门的气密性，门框发热线凹槽为可拆卸式，方便发热线更换；</w:t>
            </w:r>
            <w:r>
              <w:rPr>
                <w:rFonts w:hint="eastAsia"/>
                <w:sz w:val="20"/>
                <w:szCs w:val="20"/>
              </w:rPr>
              <w:br/>
              <w:t xml:space="preserve">6、冷库库板与库板的连接使用定制凸轮式偏心勾锁快速自锁扣安装，凸轮钩锁采用锌合金转轴，凸轮式偏心勾锁的拉力达到1.5 kPa以上，确保多次旋转也不会失去钩锁功能；每块库板的凸轮式偏心勾锁的数</w:t>
            </w:r>
            <w:r>
              <w:rPr>
                <w:rFonts w:hint="eastAsia"/>
                <w:sz w:val="20"/>
                <w:szCs w:val="20"/>
              </w:rPr>
              <w:t xml:space="preserve">量定义为：长端每间隔800mm/个、宽端每间隔590mm/个；</w:t>
            </w:r>
            <w:r/>
          </w:p>
        </w:tc>
        <w:tc>
          <w:tcPr>
            <w:tcBorders>
              <w:top w:val="none" w:color="000000" w:sz="4" w:space="0"/>
              <w:left w:val="none" w:color="000000" w:sz="4" w:space="0"/>
              <w:bottom w:val="single" w:color="auto" w:sz="4" w:space="0"/>
              <w:right w:val="single" w:color="auto" w:sz="4" w:space="0"/>
            </w:tcBorders>
            <w:tcW w:w="680" w:type="dxa"/>
            <w:vAlign w:val="center"/>
            <w:textDirection w:val="lrTb"/>
            <w:noWrap/>
          </w:tcPr>
          <w:p>
            <w:pPr>
              <w:jc w:val="center"/>
              <w:rPr>
                <w:rFonts w:hint="eastAsia"/>
                <w:sz w:val="20"/>
                <w:szCs w:val="20"/>
              </w:rPr>
            </w:pPr>
            <w:r>
              <w:rPr>
                <w:rFonts w:hint="eastAsia"/>
                <w:sz w:val="20"/>
                <w:szCs w:val="20"/>
              </w:rPr>
              <w:t xml:space="preserve">座</w:t>
            </w:r>
            <w:r/>
          </w:p>
        </w:tc>
        <w:tc>
          <w:tcPr>
            <w:tcBorders>
              <w:top w:val="none" w:color="000000" w:sz="4" w:space="0"/>
              <w:left w:val="none" w:color="000000" w:sz="4" w:space="0"/>
              <w:bottom w:val="single" w:color="000000" w:sz="4" w:space="0"/>
              <w:right w:val="single" w:color="000000" w:sz="4" w:space="0"/>
            </w:tcBorders>
            <w:tcW w:w="631" w:type="dxa"/>
            <w:vAlign w:val="center"/>
            <w:textDirection w:val="lrTb"/>
            <w:noWrap/>
          </w:tcPr>
          <w:p>
            <w:pPr>
              <w:jc w:val="center"/>
              <w:rPr>
                <w:rFonts w:hint="eastAsia"/>
                <w:sz w:val="20"/>
                <w:szCs w:val="20"/>
              </w:rPr>
            </w:pPr>
            <w:r>
              <w:rPr>
                <w:rFonts w:hint="eastAsia"/>
                <w:sz w:val="20"/>
                <w:szCs w:val="20"/>
              </w:rPr>
              <w:t xml:space="preserve">1</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rPr>
            </w:pPr>
            <w:r>
              <w:rPr>
                <w:rFonts w:hint="eastAsia"/>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b/>
                <w:bCs/>
                <w:sz w:val="20"/>
                <w:szCs w:val="20"/>
              </w:rPr>
            </w:pPr>
            <w:r>
              <w:rPr>
                <w:rFonts w:hint="eastAsia"/>
                <w:b/>
                <w:bCs/>
                <w:sz w:val="20"/>
                <w:szCs w:val="20"/>
              </w:rPr>
              <w:t xml:space="preserve">八</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b/>
                <w:bCs/>
                <w:sz w:val="20"/>
                <w:szCs w:val="20"/>
              </w:rPr>
            </w:pPr>
            <w:r>
              <w:rPr>
                <w:rFonts w:hint="eastAsia"/>
                <w:b/>
                <w:bCs/>
                <w:sz w:val="20"/>
                <w:szCs w:val="20"/>
              </w:rPr>
              <w:t xml:space="preserve">消毒柜</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680"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631"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80</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刀具消毒柜</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val="false"/>
          </w:tcPr>
          <w:p>
            <w:pP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1、材料为304#不锈钢板，厚度≥1.2mm；</w:t>
            </w:r>
            <w:r>
              <w:rPr>
                <w:rFonts w:hint="eastAsia"/>
                <w:sz w:val="20"/>
                <w:szCs w:val="20"/>
              </w:rPr>
              <w:br/>
              <w:t xml:space="preserve">2、配紫外线杀菌灯：≥15w；</w:t>
            </w:r>
            <w:r>
              <w:rPr>
                <w:rFonts w:hint="eastAsia"/>
                <w:sz w:val="20"/>
                <w:szCs w:val="20"/>
              </w:rPr>
              <w:br/>
              <w:t xml:space="preserve">3、配延时开关、定时器：120Min；</w:t>
            </w:r>
            <w:r>
              <w:rPr>
                <w:rFonts w:hint="eastAsia"/>
                <w:sz w:val="20"/>
                <w:szCs w:val="20"/>
              </w:rPr>
              <w:br/>
              <w:t xml:space="preserve">4、配防紫外线茶色玻璃、透明有机玻璃刀架；</w:t>
            </w:r>
            <w:r>
              <w:rPr>
                <w:rFonts w:hint="eastAsia"/>
                <w:sz w:val="20"/>
                <w:szCs w:val="20"/>
              </w:rPr>
              <w:br/>
              <w:t xml:space="preserve">5、箱内可放置≥10把刀具，内置保护罩汞蒸汽灯，安全保护、消毒杀菌功能；消毒柜门由特殊熏制有机玻璃制作，刀架采用分离式并带有收集盘；设有开门停灯及120分钟时间调控，设有磁性门吸及门锁。</w:t>
            </w:r>
            <w:r/>
          </w:p>
        </w:tc>
        <w:tc>
          <w:tcPr>
            <w:tcBorders>
              <w:top w:val="none" w:color="000000" w:sz="4" w:space="0"/>
              <w:left w:val="none" w:color="000000" w:sz="4" w:space="0"/>
              <w:bottom w:val="single" w:color="000000" w:sz="4" w:space="0"/>
              <w:right w:val="single" w:color="000000"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000000" w:sz="4" w:space="0"/>
              <w:right w:val="single" w:color="000000" w:sz="4" w:space="0"/>
            </w:tcBorders>
            <w:tcW w:w="631" w:type="dxa"/>
            <w:vAlign w:val="center"/>
            <w:textDirection w:val="lrTb"/>
            <w:noWrap/>
          </w:tcPr>
          <w:p>
            <w:pPr>
              <w:jc w:val="center"/>
              <w:rPr>
                <w:rFonts w:hint="eastAsia"/>
                <w:sz w:val="20"/>
                <w:szCs w:val="20"/>
              </w:rPr>
            </w:pPr>
            <w:r>
              <w:rPr>
                <w:rFonts w:hint="eastAsia"/>
                <w:sz w:val="20"/>
                <w:szCs w:val="20"/>
              </w:rPr>
              <w:t xml:space="preserve">15</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81</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val="false"/>
          </w:tcPr>
          <w:p>
            <w:pPr>
              <w:rPr>
                <w:rFonts w:hint="eastAsia"/>
                <w:sz w:val="20"/>
                <w:szCs w:val="20"/>
              </w:rPr>
            </w:pPr>
            <w:r>
              <w:rPr>
                <w:rFonts w:hint="eastAsia"/>
                <w:sz w:val="20"/>
                <w:szCs w:val="20"/>
              </w:rPr>
              <w:t xml:space="preserve">热风循环消毒柜</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val="false"/>
          </w:tcPr>
          <w:p>
            <w:pP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1、工作方式：高温热风循环；</w:t>
            </w:r>
            <w:r>
              <w:rPr>
                <w:rFonts w:hint="eastAsia"/>
                <w:sz w:val="20"/>
                <w:szCs w:val="20"/>
              </w:rPr>
              <w:br/>
              <w:t xml:space="preserve">2、门材质：不锈钢；</w:t>
            </w:r>
            <w:r>
              <w:rPr>
                <w:rFonts w:hint="eastAsia"/>
                <w:sz w:val="20"/>
                <w:szCs w:val="20"/>
              </w:rPr>
              <w:br/>
              <w:t xml:space="preserve">3、储存空间：双门单室；</w:t>
            </w:r>
            <w:r>
              <w:rPr>
                <w:rFonts w:hint="eastAsia"/>
                <w:sz w:val="20"/>
                <w:szCs w:val="20"/>
              </w:rPr>
              <w:br/>
              <w:t xml:space="preserve">4、外壳材质：SUS304 不锈钢；</w:t>
            </w:r>
            <w:r>
              <w:rPr>
                <w:rFonts w:hint="eastAsia"/>
                <w:sz w:val="20"/>
                <w:szCs w:val="20"/>
              </w:rPr>
              <w:br/>
              <w:t xml:space="preserve">5、功率(W)： ≥3250W；</w:t>
            </w:r>
            <w:r>
              <w:rPr>
                <w:rFonts w:hint="eastAsia"/>
                <w:sz w:val="20"/>
                <w:szCs w:val="20"/>
              </w:rPr>
              <w:br/>
              <w:t xml:space="preserve">6、容积(L)：≥850L；</w:t>
            </w:r>
            <w:r>
              <w:rPr>
                <w:rFonts w:hint="eastAsia"/>
                <w:sz w:val="20"/>
                <w:szCs w:val="20"/>
              </w:rPr>
              <w:br/>
              <w:t xml:space="preserve">7、热风循环高温消毒,使内部消毒温度更均匀,采用温控器和超温熔断器双重保护；</w:t>
            </w:r>
            <w:r>
              <w:rPr>
                <w:rFonts w:hint="eastAsia"/>
                <w:sz w:val="20"/>
                <w:szCs w:val="20"/>
              </w:rPr>
              <w:br/>
              <w:t xml:space="preserve">8、机身边缘转折处圆滑处理；</w:t>
            </w:r>
            <w:r>
              <w:rPr>
                <w:rFonts w:hint="eastAsia"/>
                <w:sz w:val="20"/>
                <w:szCs w:val="20"/>
              </w:rPr>
              <w:br/>
              <w:t xml:space="preserve">9、变频消毒、延时循环功能；</w:t>
            </w:r>
            <w:r>
              <w:rPr>
                <w:rFonts w:hint="eastAsia"/>
                <w:sz w:val="20"/>
                <w:szCs w:val="20"/>
              </w:rPr>
              <w:br/>
              <w:t xml:space="preserve">10、使用304加热器件，防水、防锈经久耐用；</w:t>
            </w:r>
            <w:r>
              <w:rPr>
                <w:rFonts w:hint="eastAsia"/>
                <w:sz w:val="20"/>
                <w:szCs w:val="20"/>
              </w:rPr>
              <w:br/>
              <w:t xml:space="preserve">11、智能触摸控制屏，可定时、定温预约消毒、一键式启动操作简单；</w:t>
            </w:r>
            <w:r>
              <w:rPr>
                <w:rFonts w:hint="eastAsia"/>
                <w:sz w:val="20"/>
                <w:szCs w:val="20"/>
              </w:rPr>
              <w:br/>
              <w:t xml:space="preserve">12、采用工程学双连紧扣把手方便操作的同时彻底解决高温环境下磁吸消磁导致的关门故障。</w:t>
            </w:r>
            <w:r>
              <w:rPr>
                <w:rFonts w:hint="eastAsia"/>
                <w:sz w:val="20"/>
                <w:szCs w:val="20"/>
              </w:rPr>
              <w:br/>
            </w:r>
            <w:r>
              <w:rPr>
                <w:rFonts w:hint="eastAsia"/>
                <w:color w:val="ee0000"/>
                <w:sz w:val="20"/>
                <w:szCs w:val="20"/>
              </w:rPr>
              <w:t xml:space="preserve">★13、依据GB 17988-2008《食具消毒柜安全和卫生要求》：消毒效果等级达到二星级。</w:t>
            </w:r>
            <w:r/>
          </w:p>
        </w:tc>
        <w:tc>
          <w:tcPr>
            <w:tcBorders>
              <w:top w:val="none" w:color="000000" w:sz="4" w:space="0"/>
              <w:left w:val="none" w:color="000000" w:sz="4" w:space="0"/>
              <w:bottom w:val="single" w:color="auto" w:sz="4" w:space="0"/>
              <w:right w:val="single" w:color="auto"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31" w:type="dxa"/>
            <w:vAlign w:val="center"/>
            <w:textDirection w:val="lrTb"/>
            <w:noWrap/>
          </w:tcPr>
          <w:p>
            <w:pPr>
              <w:jc w:val="center"/>
              <w:rPr>
                <w:rFonts w:hint="eastAsia"/>
                <w:sz w:val="20"/>
                <w:szCs w:val="20"/>
              </w:rPr>
            </w:pPr>
            <w:r>
              <w:rPr>
                <w:rFonts w:hint="eastAsia"/>
                <w:sz w:val="20"/>
                <w:szCs w:val="20"/>
              </w:rPr>
              <w:t xml:space="preserve">4</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rPr>
            </w:pPr>
            <w:r>
              <w:rPr>
                <w:rFonts w:hint="eastAsia"/>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b/>
                <w:bCs/>
                <w:sz w:val="20"/>
                <w:szCs w:val="20"/>
              </w:rPr>
            </w:pPr>
            <w:r>
              <w:rPr>
                <w:rFonts w:hint="eastAsia"/>
                <w:b/>
                <w:bCs/>
                <w:sz w:val="20"/>
                <w:szCs w:val="20"/>
              </w:rPr>
              <w:t xml:space="preserve">九</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b/>
                <w:bCs/>
                <w:sz w:val="20"/>
                <w:szCs w:val="20"/>
              </w:rPr>
            </w:pPr>
            <w:r>
              <w:rPr>
                <w:rFonts w:hint="eastAsia"/>
                <w:b/>
                <w:bCs/>
                <w:sz w:val="20"/>
                <w:szCs w:val="20"/>
              </w:rPr>
              <w:t xml:space="preserve">其他</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680"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631"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82</w:t>
            </w:r>
            <w:r/>
          </w:p>
        </w:tc>
        <w:tc>
          <w:tcPr>
            <w:tcBorders>
              <w:top w:val="none" w:color="000000" w:sz="4" w:space="0"/>
              <w:left w:val="none" w:color="000000" w:sz="4" w:space="0"/>
              <w:bottom w:val="single" w:color="000000" w:sz="4" w:space="0"/>
              <w:right w:val="single" w:color="000000" w:sz="4" w:space="0"/>
            </w:tcBorders>
            <w:tcW w:w="1637" w:type="dxa"/>
            <w:vAlign w:val="center"/>
            <w:textDirection w:val="lrTb"/>
            <w:noWrap/>
          </w:tcPr>
          <w:p>
            <w:pPr>
              <w:rPr>
                <w:rFonts w:hint="eastAsia"/>
                <w:sz w:val="20"/>
                <w:szCs w:val="20"/>
              </w:rPr>
            </w:pPr>
            <w:r>
              <w:rPr>
                <w:rFonts w:hint="eastAsia"/>
                <w:sz w:val="20"/>
                <w:szCs w:val="20"/>
              </w:rPr>
              <w:t xml:space="preserve">挂墙单层架1</w:t>
            </w: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tcPr>
          <w:p>
            <w:pPr>
              <w:rPr>
                <w:rFonts w:hint="eastAsia"/>
                <w:sz w:val="20"/>
                <w:szCs w:val="20"/>
              </w:rPr>
            </w:pPr>
            <w:r>
              <w:rPr>
                <w:rFonts w:hint="eastAsia"/>
                <w:sz w:val="20"/>
                <w:szCs w:val="20"/>
              </w:rPr>
              <w:t xml:space="preserve">5200*300</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1、采用SUS304不锈钢，板厚≥1.2mm；</w:t>
            </w:r>
            <w:r>
              <w:rPr>
                <w:rFonts w:hint="eastAsia"/>
                <w:sz w:val="20"/>
                <w:szCs w:val="20"/>
              </w:rPr>
              <w:br/>
              <w:t xml:space="preserve">2、立柱采用38*38mm，厚度≥1.5mm方管；</w:t>
            </w:r>
            <w:r>
              <w:rPr>
                <w:rFonts w:hint="eastAsia"/>
                <w:sz w:val="20"/>
                <w:szCs w:val="20"/>
              </w:rPr>
              <w:br/>
              <w:t xml:space="preserve">3、层板高40mm，层板底部加强筋支撑；</w:t>
            </w:r>
            <w:r/>
          </w:p>
        </w:tc>
        <w:tc>
          <w:tcPr>
            <w:tcBorders>
              <w:top w:val="none" w:color="000000" w:sz="4" w:space="0"/>
              <w:left w:val="none" w:color="000000" w:sz="4" w:space="0"/>
              <w:bottom w:val="single" w:color="000000" w:sz="4" w:space="0"/>
              <w:right w:val="single" w:color="000000"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000000" w:sz="4" w:space="0"/>
              <w:right w:val="single" w:color="000000" w:sz="4" w:space="0"/>
            </w:tcBorders>
            <w:tcW w:w="631" w:type="dxa"/>
            <w:vAlign w:val="center"/>
            <w:textDirection w:val="lrTb"/>
            <w:noWrap/>
          </w:tcPr>
          <w:p>
            <w:pPr>
              <w:jc w:val="center"/>
              <w:rPr>
                <w:rFonts w:hint="eastAsia"/>
                <w:sz w:val="20"/>
                <w:szCs w:val="20"/>
              </w:rPr>
            </w:pPr>
            <w:r>
              <w:rPr>
                <w:rFonts w:hint="eastAsia"/>
                <w:sz w:val="20"/>
                <w:szCs w:val="20"/>
              </w:rPr>
              <w:t xml:space="preserve">1</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83</w:t>
            </w:r>
            <w:r/>
          </w:p>
        </w:tc>
        <w:tc>
          <w:tcPr>
            <w:tcBorders>
              <w:top w:val="none" w:color="000000" w:sz="4" w:space="0"/>
              <w:left w:val="none" w:color="000000" w:sz="4" w:space="0"/>
              <w:bottom w:val="single" w:color="000000" w:sz="4" w:space="0"/>
              <w:right w:val="single" w:color="000000" w:sz="4" w:space="0"/>
            </w:tcBorders>
            <w:tcW w:w="1637" w:type="dxa"/>
            <w:vAlign w:val="center"/>
            <w:textDirection w:val="lrTb"/>
            <w:noWrap/>
          </w:tcPr>
          <w:p>
            <w:pPr>
              <w:rPr>
                <w:rFonts w:hint="eastAsia"/>
                <w:sz w:val="20"/>
                <w:szCs w:val="20"/>
              </w:rPr>
            </w:pPr>
            <w:r>
              <w:rPr>
                <w:rFonts w:hint="eastAsia"/>
                <w:sz w:val="20"/>
                <w:szCs w:val="20"/>
              </w:rPr>
              <w:t xml:space="preserve">挂墙单层架2</w:t>
            </w: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tcPr>
          <w:p>
            <w:pPr>
              <w:rPr>
                <w:rFonts w:hint="eastAsia"/>
                <w:sz w:val="20"/>
                <w:szCs w:val="20"/>
              </w:rPr>
            </w:pPr>
            <w:r>
              <w:rPr>
                <w:rFonts w:hint="eastAsia"/>
                <w:sz w:val="20"/>
                <w:szCs w:val="20"/>
              </w:rPr>
              <w:t xml:space="preserve">3000*300</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1、采用SUS304不锈钢，板厚≥1.2mm；</w:t>
            </w:r>
            <w:r>
              <w:rPr>
                <w:rFonts w:hint="eastAsia"/>
                <w:sz w:val="20"/>
                <w:szCs w:val="20"/>
              </w:rPr>
              <w:br/>
              <w:t xml:space="preserve">2、立柱采用38*38mm，厚度≥1.5mm方管；</w:t>
            </w:r>
            <w:r>
              <w:rPr>
                <w:rFonts w:hint="eastAsia"/>
                <w:sz w:val="20"/>
                <w:szCs w:val="20"/>
              </w:rPr>
              <w:br/>
              <w:t xml:space="preserve">3、层板高40mm，层板底部加强筋支撑；</w:t>
            </w:r>
            <w:r/>
          </w:p>
        </w:tc>
        <w:tc>
          <w:tcPr>
            <w:tcBorders>
              <w:top w:val="none" w:color="000000" w:sz="4" w:space="0"/>
              <w:left w:val="none" w:color="000000" w:sz="4" w:space="0"/>
              <w:bottom w:val="single" w:color="000000" w:sz="4" w:space="0"/>
              <w:right w:val="single" w:color="000000"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000000" w:sz="4" w:space="0"/>
              <w:right w:val="single" w:color="000000" w:sz="4" w:space="0"/>
            </w:tcBorders>
            <w:tcW w:w="631" w:type="dxa"/>
            <w:vAlign w:val="center"/>
            <w:textDirection w:val="lrTb"/>
            <w:noWrap/>
          </w:tcPr>
          <w:p>
            <w:pPr>
              <w:jc w:val="center"/>
              <w:rPr>
                <w:rFonts w:hint="eastAsia"/>
                <w:sz w:val="20"/>
                <w:szCs w:val="20"/>
              </w:rPr>
            </w:pPr>
            <w:r>
              <w:rPr>
                <w:rFonts w:hint="eastAsia"/>
                <w:sz w:val="20"/>
                <w:szCs w:val="20"/>
              </w:rPr>
              <w:t xml:space="preserve">1</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84</w:t>
            </w:r>
            <w:r/>
          </w:p>
        </w:tc>
        <w:tc>
          <w:tcPr>
            <w:tcBorders>
              <w:top w:val="none" w:color="000000" w:sz="4" w:space="0"/>
              <w:left w:val="none" w:color="000000" w:sz="4" w:space="0"/>
              <w:bottom w:val="single" w:color="000000" w:sz="4" w:space="0"/>
              <w:right w:val="single" w:color="000000" w:sz="4" w:space="0"/>
            </w:tcBorders>
            <w:tcW w:w="1637" w:type="dxa"/>
            <w:vAlign w:val="center"/>
            <w:textDirection w:val="lrTb"/>
            <w:noWrap/>
          </w:tcPr>
          <w:p>
            <w:pPr>
              <w:rPr>
                <w:rFonts w:hint="eastAsia"/>
                <w:sz w:val="20"/>
                <w:szCs w:val="20"/>
              </w:rPr>
            </w:pPr>
            <w:r>
              <w:rPr>
                <w:rFonts w:hint="eastAsia"/>
                <w:sz w:val="20"/>
                <w:szCs w:val="20"/>
              </w:rPr>
              <w:t xml:space="preserve">挂墙单层架3</w:t>
            </w: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tcPr>
          <w:p>
            <w:pPr>
              <w:rPr>
                <w:rFonts w:hint="eastAsia"/>
                <w:sz w:val="20"/>
                <w:szCs w:val="20"/>
              </w:rPr>
            </w:pPr>
            <w:r>
              <w:rPr>
                <w:rFonts w:hint="eastAsia"/>
                <w:sz w:val="20"/>
                <w:szCs w:val="20"/>
              </w:rPr>
              <w:t xml:space="preserve">2400*300</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1、采用SUS304不锈钢，板厚≥1.2mm；</w:t>
            </w:r>
            <w:r>
              <w:rPr>
                <w:rFonts w:hint="eastAsia"/>
                <w:sz w:val="20"/>
                <w:szCs w:val="20"/>
              </w:rPr>
              <w:br/>
              <w:t xml:space="preserve">2、立柱采用38*38mm，厚度≥1.5mm方管；</w:t>
            </w:r>
            <w:r>
              <w:rPr>
                <w:rFonts w:hint="eastAsia"/>
                <w:sz w:val="20"/>
                <w:szCs w:val="20"/>
              </w:rPr>
              <w:br/>
              <w:t xml:space="preserve">3、层板高40mm，层板底部加强筋支撑；</w:t>
            </w:r>
            <w:r/>
          </w:p>
        </w:tc>
        <w:tc>
          <w:tcPr>
            <w:tcBorders>
              <w:top w:val="none" w:color="000000" w:sz="4" w:space="0"/>
              <w:left w:val="none" w:color="000000" w:sz="4" w:space="0"/>
              <w:bottom w:val="single" w:color="000000" w:sz="4" w:space="0"/>
              <w:right w:val="single" w:color="000000"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000000" w:sz="4" w:space="0"/>
              <w:right w:val="single" w:color="000000" w:sz="4" w:space="0"/>
            </w:tcBorders>
            <w:tcW w:w="631" w:type="dxa"/>
            <w:vAlign w:val="center"/>
            <w:textDirection w:val="lrTb"/>
            <w:noWrap/>
          </w:tcPr>
          <w:p>
            <w:pPr>
              <w:jc w:val="center"/>
              <w:rPr>
                <w:rFonts w:hint="eastAsia"/>
                <w:sz w:val="20"/>
                <w:szCs w:val="20"/>
              </w:rPr>
            </w:pPr>
            <w:r>
              <w:rPr>
                <w:rFonts w:hint="eastAsia"/>
                <w:sz w:val="20"/>
                <w:szCs w:val="20"/>
              </w:rPr>
              <w:t xml:space="preserve">1</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85</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收碗车</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850*550*900</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1、车身：采用SUS304不锈钢 厚≥1.2mm；</w:t>
            </w:r>
            <w:r>
              <w:rPr>
                <w:rFonts w:hint="eastAsia"/>
                <w:sz w:val="20"/>
                <w:szCs w:val="20"/>
              </w:rPr>
              <w:br/>
              <w:t xml:space="preserve">2、配静音万向脚轮。</w:t>
            </w:r>
            <w:r/>
          </w:p>
        </w:tc>
        <w:tc>
          <w:tcPr>
            <w:tcBorders>
              <w:top w:val="none" w:color="000000" w:sz="4" w:space="0"/>
              <w:left w:val="none" w:color="000000" w:sz="4" w:space="0"/>
              <w:bottom w:val="single" w:color="auto" w:sz="4" w:space="0"/>
              <w:right w:val="single" w:color="auto"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31" w:type="dxa"/>
            <w:vAlign w:val="center"/>
            <w:textDirection w:val="lrTb"/>
            <w:noWrap/>
          </w:tcPr>
          <w:p>
            <w:pPr>
              <w:jc w:val="center"/>
              <w:rPr>
                <w:rFonts w:hint="eastAsia"/>
                <w:sz w:val="20"/>
                <w:szCs w:val="20"/>
              </w:rPr>
            </w:pPr>
            <w:r>
              <w:rPr>
                <w:rFonts w:hint="eastAsia"/>
                <w:sz w:val="20"/>
                <w:szCs w:val="20"/>
              </w:rPr>
              <w:t xml:space="preserve">8</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86</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开水器带底座</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val="false"/>
          </w:tcPr>
          <w:p>
            <w:pP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1、双层水箱：容积≥105L；</w:t>
            </w:r>
            <w:r>
              <w:rPr>
                <w:rFonts w:hint="eastAsia"/>
                <w:sz w:val="20"/>
                <w:szCs w:val="20"/>
              </w:rPr>
              <w:br/>
              <w:t xml:space="preserve">2、内置防干烧系统，超高温保护、缺水断电保护；</w:t>
            </w:r>
            <w:r>
              <w:rPr>
                <w:rFonts w:hint="eastAsia"/>
                <w:sz w:val="20"/>
                <w:szCs w:val="20"/>
              </w:rPr>
              <w:br/>
              <w:t xml:space="preserve">3、功率：≥9KW；电压：380v；</w:t>
            </w:r>
            <w:r>
              <w:rPr>
                <w:rFonts w:hint="eastAsia"/>
                <w:sz w:val="20"/>
                <w:szCs w:val="20"/>
              </w:rPr>
              <w:br/>
              <w:t xml:space="preserve">4、进水方式：延时阀控制进水，水烧开后取水时不能有生水进入，防止混合水产生，电磁阀控制；</w:t>
            </w:r>
            <w:r>
              <w:rPr>
                <w:rFonts w:hint="eastAsia"/>
                <w:sz w:val="20"/>
                <w:szCs w:val="20"/>
              </w:rPr>
              <w:br/>
              <w:t xml:space="preserve">5、水咀：2个，十字导向型出水龙头，保证圆柱形直流，防止飞溅烫伤；</w:t>
            </w:r>
            <w:r>
              <w:rPr>
                <w:rFonts w:hint="eastAsia"/>
                <w:sz w:val="20"/>
                <w:szCs w:val="20"/>
              </w:rPr>
              <w:br/>
              <w:t xml:space="preserve">6、可视实时水箱水位、机械式实时温度显示；</w:t>
            </w:r>
            <w:r>
              <w:rPr>
                <w:rFonts w:hint="eastAsia"/>
                <w:sz w:val="20"/>
                <w:szCs w:val="20"/>
              </w:rPr>
              <w:br/>
              <w:t xml:space="preserve">7、材料：A、外壳采用SUS304不锈钢雪花无指纹板，厚：≥0.8mm，B、内胆：采用SUS304不锈钢，厚：≥0.8mm。</w:t>
            </w:r>
            <w:r/>
          </w:p>
        </w:tc>
        <w:tc>
          <w:tcPr>
            <w:tcBorders>
              <w:top w:val="none" w:color="000000" w:sz="4" w:space="0"/>
              <w:left w:val="none" w:color="000000" w:sz="4" w:space="0"/>
              <w:bottom w:val="single" w:color="auto" w:sz="4" w:space="0"/>
              <w:right w:val="single" w:color="auto"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31" w:type="dxa"/>
            <w:vAlign w:val="center"/>
            <w:textDirection w:val="lrTb"/>
            <w:noWrap/>
          </w:tcPr>
          <w:p>
            <w:pPr>
              <w:jc w:val="center"/>
              <w:rPr>
                <w:rFonts w:hint="eastAsia"/>
                <w:sz w:val="20"/>
                <w:szCs w:val="20"/>
              </w:rPr>
            </w:pPr>
            <w:r>
              <w:rPr>
                <w:rFonts w:hint="eastAsia"/>
                <w:sz w:val="20"/>
                <w:szCs w:val="20"/>
              </w:rPr>
              <w:t xml:space="preserve">18</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87</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面粉车</w:t>
            </w: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tcPr>
          <w:p>
            <w:pPr>
              <w:rPr>
                <w:rFonts w:hint="eastAsia"/>
                <w:sz w:val="20"/>
                <w:szCs w:val="20"/>
              </w:rPr>
            </w:pPr>
            <w:r>
              <w:rPr>
                <w:rFonts w:hint="eastAsia"/>
                <w:sz w:val="20"/>
                <w:szCs w:val="20"/>
              </w:rPr>
              <w:t xml:space="preserve">500*600*500</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1、车身：采用SUS304不锈钢 厚≥1.2mm；</w:t>
            </w:r>
            <w:r>
              <w:rPr>
                <w:rFonts w:hint="eastAsia"/>
                <w:sz w:val="20"/>
                <w:szCs w:val="20"/>
              </w:rPr>
              <w:br/>
              <w:t xml:space="preserve">2、配静音万向脚轮。</w:t>
            </w:r>
            <w:r/>
          </w:p>
        </w:tc>
        <w:tc>
          <w:tcPr>
            <w:tcBorders>
              <w:top w:val="none" w:color="000000" w:sz="4" w:space="0"/>
              <w:left w:val="none" w:color="000000" w:sz="4" w:space="0"/>
              <w:bottom w:val="single" w:color="000000" w:sz="4" w:space="0"/>
              <w:right w:val="single" w:color="000000"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000000" w:sz="4" w:space="0"/>
              <w:right w:val="single" w:color="000000" w:sz="4" w:space="0"/>
            </w:tcBorders>
            <w:tcW w:w="631" w:type="dxa"/>
            <w:vAlign w:val="center"/>
            <w:textDirection w:val="lrTb"/>
            <w:noWrap/>
          </w:tcPr>
          <w:p>
            <w:pPr>
              <w:jc w:val="center"/>
              <w:rPr>
                <w:rFonts w:hint="eastAsia"/>
                <w:sz w:val="20"/>
                <w:szCs w:val="20"/>
              </w:rPr>
            </w:pPr>
            <w:r>
              <w:rPr>
                <w:rFonts w:hint="eastAsia"/>
                <w:sz w:val="20"/>
                <w:szCs w:val="20"/>
              </w:rPr>
              <w:t xml:space="preserve">4</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88</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和面机 </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val="false"/>
          </w:tcPr>
          <w:p>
            <w:pP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1、功率：≥2.2KW，电压：380V；</w:t>
            </w:r>
            <w:r>
              <w:rPr>
                <w:rFonts w:hint="eastAsia"/>
                <w:sz w:val="20"/>
                <w:szCs w:val="20"/>
              </w:rPr>
              <w:br/>
              <w:t xml:space="preserve">2、最大和面量：≥16KG；</w:t>
            </w:r>
            <w:r>
              <w:rPr>
                <w:rFonts w:hint="eastAsia"/>
                <w:sz w:val="20"/>
                <w:szCs w:val="20"/>
              </w:rPr>
              <w:br/>
              <w:t xml:space="preserve">3、双速双动；</w:t>
            </w:r>
            <w:r>
              <w:rPr>
                <w:rFonts w:hint="eastAsia"/>
                <w:sz w:val="20"/>
                <w:szCs w:val="20"/>
              </w:rPr>
              <w:br/>
              <w:t xml:space="preserve">4、料桶采用SUS304材质。</w:t>
            </w:r>
            <w:r/>
          </w:p>
        </w:tc>
        <w:tc>
          <w:tcPr>
            <w:tcBorders>
              <w:top w:val="none" w:color="000000" w:sz="4" w:space="0"/>
              <w:left w:val="none" w:color="000000" w:sz="4" w:space="0"/>
              <w:bottom w:val="single" w:color="auto" w:sz="4" w:space="0"/>
              <w:right w:val="single" w:color="auto"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31" w:type="dxa"/>
            <w:vAlign w:val="center"/>
            <w:textDirection w:val="lrTb"/>
            <w:noWrap/>
          </w:tcPr>
          <w:p>
            <w:pPr>
              <w:jc w:val="center"/>
              <w:rPr>
                <w:rFonts w:hint="eastAsia"/>
                <w:sz w:val="20"/>
                <w:szCs w:val="20"/>
              </w:rPr>
            </w:pPr>
            <w:r>
              <w:rPr>
                <w:rFonts w:hint="eastAsia"/>
                <w:sz w:val="20"/>
                <w:szCs w:val="20"/>
              </w:rPr>
              <w:t xml:space="preserve">1</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89</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卧式和面机</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val="false"/>
          </w:tcPr>
          <w:p>
            <w:pP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1、功率：≥3kW，电压：380V；</w:t>
            </w:r>
            <w:r>
              <w:rPr>
                <w:rFonts w:hint="eastAsia"/>
                <w:sz w:val="20"/>
                <w:szCs w:val="20"/>
              </w:rPr>
              <w:br/>
              <w:t xml:space="preserve">2、最大和面量：≥30KG；</w:t>
            </w:r>
            <w:r>
              <w:rPr>
                <w:rFonts w:hint="eastAsia"/>
                <w:sz w:val="20"/>
                <w:szCs w:val="20"/>
              </w:rPr>
              <w:br/>
              <w:t xml:space="preserve">3、双速双动；</w:t>
            </w:r>
            <w:r>
              <w:rPr>
                <w:rFonts w:hint="eastAsia"/>
                <w:sz w:val="20"/>
                <w:szCs w:val="20"/>
              </w:rPr>
              <w:br/>
              <w:t xml:space="preserve">4、料桶采用SUS304材质。</w:t>
            </w:r>
            <w:r/>
          </w:p>
        </w:tc>
        <w:tc>
          <w:tcPr>
            <w:tcBorders>
              <w:top w:val="none" w:color="000000" w:sz="4" w:space="0"/>
              <w:left w:val="none" w:color="000000" w:sz="4" w:space="0"/>
              <w:bottom w:val="single" w:color="auto" w:sz="4" w:space="0"/>
              <w:right w:val="single" w:color="auto"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31" w:type="dxa"/>
            <w:vAlign w:val="center"/>
            <w:textDirection w:val="lrTb"/>
            <w:noWrap/>
          </w:tcPr>
          <w:p>
            <w:pPr>
              <w:jc w:val="center"/>
              <w:rPr>
                <w:rFonts w:hint="eastAsia"/>
                <w:sz w:val="20"/>
                <w:szCs w:val="20"/>
              </w:rPr>
            </w:pPr>
            <w:r>
              <w:rPr>
                <w:rFonts w:hint="eastAsia"/>
                <w:sz w:val="20"/>
                <w:szCs w:val="20"/>
              </w:rPr>
              <w:t xml:space="preserve">1</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90</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压面机</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val="false"/>
          </w:tcPr>
          <w:p>
            <w:pP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1、压面厚度：0.5-5mm；</w:t>
            </w:r>
            <w:r>
              <w:rPr>
                <w:rFonts w:hint="eastAsia"/>
                <w:sz w:val="20"/>
                <w:szCs w:val="20"/>
              </w:rPr>
              <w:br/>
              <w:t xml:space="preserve">2、压面宽度：≥250mm；</w:t>
            </w:r>
            <w:r>
              <w:rPr>
                <w:rFonts w:hint="eastAsia"/>
                <w:sz w:val="20"/>
                <w:szCs w:val="20"/>
              </w:rPr>
              <w:br/>
              <w:t xml:space="preserve">3、功率：≥1.5KW，电压：380V；</w:t>
            </w:r>
            <w:r>
              <w:rPr>
                <w:rFonts w:hint="eastAsia"/>
                <w:sz w:val="20"/>
                <w:szCs w:val="20"/>
              </w:rPr>
              <w:br/>
              <w:t xml:space="preserve">4、生产能力：25~30KG/H；</w:t>
            </w:r>
            <w:r>
              <w:rPr>
                <w:rFonts w:hint="eastAsia"/>
                <w:sz w:val="20"/>
                <w:szCs w:val="20"/>
              </w:rPr>
              <w:br/>
              <w:t xml:space="preserve">5、料桶采用SUS304材质。</w:t>
            </w:r>
            <w:r/>
          </w:p>
        </w:tc>
        <w:tc>
          <w:tcPr>
            <w:tcBorders>
              <w:top w:val="none" w:color="000000" w:sz="4" w:space="0"/>
              <w:left w:val="none" w:color="000000" w:sz="4" w:space="0"/>
              <w:bottom w:val="single" w:color="auto" w:sz="4" w:space="0"/>
              <w:right w:val="single" w:color="auto"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31" w:type="dxa"/>
            <w:vAlign w:val="center"/>
            <w:textDirection w:val="lrTb"/>
            <w:noWrap/>
          </w:tcPr>
          <w:p>
            <w:pPr>
              <w:jc w:val="center"/>
              <w:rPr>
                <w:rFonts w:hint="eastAsia"/>
                <w:sz w:val="20"/>
                <w:szCs w:val="20"/>
              </w:rPr>
            </w:pPr>
            <w:r>
              <w:rPr>
                <w:rFonts w:hint="eastAsia"/>
                <w:sz w:val="20"/>
                <w:szCs w:val="20"/>
              </w:rPr>
              <w:t xml:space="preserve">4</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91</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绞肉机</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val="false"/>
          </w:tcPr>
          <w:p>
            <w:pP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1、产量：400-600KG/H；</w:t>
            </w:r>
            <w:r>
              <w:rPr>
                <w:rFonts w:hint="eastAsia"/>
                <w:sz w:val="20"/>
                <w:szCs w:val="20"/>
              </w:rPr>
              <w:br/>
              <w:t xml:space="preserve">2、功率：≥2.2KW，电压：380V；</w:t>
            </w:r>
            <w:r>
              <w:rPr>
                <w:rFonts w:hint="eastAsia"/>
                <w:sz w:val="20"/>
                <w:szCs w:val="20"/>
              </w:rPr>
              <w:br/>
              <w:t xml:space="preserve">3、绞盘：6/8mm。</w:t>
            </w:r>
            <w:r/>
          </w:p>
        </w:tc>
        <w:tc>
          <w:tcPr>
            <w:tcBorders>
              <w:top w:val="none" w:color="000000" w:sz="4" w:space="0"/>
              <w:left w:val="none" w:color="000000" w:sz="4" w:space="0"/>
              <w:bottom w:val="single" w:color="auto" w:sz="4" w:space="0"/>
              <w:right w:val="single" w:color="auto"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31" w:type="dxa"/>
            <w:vAlign w:val="center"/>
            <w:textDirection w:val="lrTb"/>
            <w:noWrap/>
          </w:tcPr>
          <w:p>
            <w:pPr>
              <w:jc w:val="center"/>
              <w:rPr>
                <w:rFonts w:hint="eastAsia"/>
                <w:sz w:val="20"/>
                <w:szCs w:val="20"/>
              </w:rPr>
            </w:pPr>
            <w:r>
              <w:rPr>
                <w:rFonts w:hint="eastAsia"/>
                <w:sz w:val="20"/>
                <w:szCs w:val="20"/>
              </w:rPr>
              <w:t xml:space="preserve">1</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92</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搅拌机</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val="false"/>
          </w:tcPr>
          <w:p>
            <w:pP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1、功率：≥1.5KW，电压：380V；</w:t>
            </w:r>
            <w:r>
              <w:rPr>
                <w:rFonts w:hint="eastAsia"/>
                <w:sz w:val="20"/>
                <w:szCs w:val="20"/>
              </w:rPr>
              <w:br/>
              <w:t xml:space="preserve">2、料桶容积：≥30L；</w:t>
            </w:r>
            <w:r>
              <w:rPr>
                <w:rFonts w:hint="eastAsia"/>
                <w:sz w:val="20"/>
                <w:szCs w:val="20"/>
              </w:rPr>
              <w:br/>
              <w:t xml:space="preserve">3、最大和面量：≥10KG；</w:t>
            </w:r>
            <w:r>
              <w:rPr>
                <w:rFonts w:hint="eastAsia"/>
                <w:sz w:val="20"/>
                <w:szCs w:val="20"/>
              </w:rPr>
              <w:br/>
              <w:t xml:space="preserve">4、料桶采用SUS304不锈钢材质；                </w:t>
            </w:r>
            <w:r>
              <w:rPr>
                <w:rFonts w:hint="eastAsia"/>
                <w:sz w:val="20"/>
                <w:szCs w:val="20"/>
              </w:rPr>
              <w:br/>
              <w:t xml:space="preserve">5、至少三档机械变速（113/168/400r/min），球面旋转式自动防护罩，转罩停机。</w:t>
            </w:r>
            <w:r/>
          </w:p>
        </w:tc>
        <w:tc>
          <w:tcPr>
            <w:tcBorders>
              <w:top w:val="none" w:color="000000" w:sz="4" w:space="0"/>
              <w:left w:val="none" w:color="000000" w:sz="4" w:space="0"/>
              <w:bottom w:val="single" w:color="auto" w:sz="4" w:space="0"/>
              <w:right w:val="single" w:color="auto"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31" w:type="dxa"/>
            <w:vAlign w:val="center"/>
            <w:textDirection w:val="lrTb"/>
            <w:noWrap/>
          </w:tcPr>
          <w:p>
            <w:pPr>
              <w:jc w:val="center"/>
              <w:rPr>
                <w:rFonts w:hint="eastAsia"/>
                <w:sz w:val="20"/>
                <w:szCs w:val="20"/>
              </w:rPr>
            </w:pPr>
            <w:r>
              <w:rPr>
                <w:rFonts w:hint="eastAsia"/>
                <w:sz w:val="20"/>
                <w:szCs w:val="20"/>
              </w:rPr>
              <w:t xml:space="preserve">4</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93</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肉丝肉片机</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val="false"/>
          </w:tcPr>
          <w:p>
            <w:pP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1、能将各种鲜肉一次性切成（丝）条，丁，状；</w:t>
            </w:r>
            <w:r>
              <w:rPr>
                <w:rFonts w:hint="eastAsia"/>
                <w:sz w:val="20"/>
                <w:szCs w:val="20"/>
              </w:rPr>
              <w:br/>
              <w:t xml:space="preserve">2、整机采用SUS304不锈钢；</w:t>
            </w:r>
            <w:r>
              <w:rPr>
                <w:rFonts w:hint="eastAsia"/>
                <w:sz w:val="20"/>
                <w:szCs w:val="20"/>
              </w:rPr>
              <w:br/>
              <w:t xml:space="preserve">3、功率：≥1.1KW，电压：380V；</w:t>
            </w:r>
            <w:r>
              <w:rPr>
                <w:rFonts w:hint="eastAsia"/>
                <w:sz w:val="20"/>
                <w:szCs w:val="20"/>
              </w:rPr>
              <w:br/>
              <w:t xml:space="preserve">4、切片产量：≥500KG/H；</w:t>
            </w:r>
            <w:r>
              <w:rPr>
                <w:rFonts w:hint="eastAsia"/>
                <w:sz w:val="20"/>
                <w:szCs w:val="20"/>
              </w:rPr>
              <w:br/>
              <w:t xml:space="preserve">5、切片厚度：2~30mm。</w:t>
            </w:r>
            <w:r/>
          </w:p>
        </w:tc>
        <w:tc>
          <w:tcPr>
            <w:tcBorders>
              <w:top w:val="none" w:color="000000" w:sz="4" w:space="0"/>
              <w:left w:val="none" w:color="000000" w:sz="4" w:space="0"/>
              <w:bottom w:val="single" w:color="auto" w:sz="4" w:space="0"/>
              <w:right w:val="single" w:color="auto"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31" w:type="dxa"/>
            <w:vAlign w:val="center"/>
            <w:textDirection w:val="lrTb"/>
            <w:noWrap/>
          </w:tcPr>
          <w:p>
            <w:pPr>
              <w:jc w:val="center"/>
              <w:rPr>
                <w:rFonts w:hint="eastAsia"/>
                <w:sz w:val="20"/>
                <w:szCs w:val="20"/>
              </w:rPr>
            </w:pPr>
            <w:r>
              <w:rPr>
                <w:rFonts w:hint="eastAsia"/>
                <w:sz w:val="20"/>
                <w:szCs w:val="20"/>
              </w:rPr>
              <w:t xml:space="preserve">1</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94</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绞切肉机</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1、单电机、绞切三用；</w:t>
            </w:r>
            <w:r>
              <w:rPr>
                <w:rFonts w:hint="eastAsia"/>
                <w:sz w:val="20"/>
                <w:szCs w:val="20"/>
              </w:rPr>
              <w:br/>
              <w:t xml:space="preserve">2、功率：≥1.5KW，电压：380V；</w:t>
            </w:r>
            <w:r>
              <w:rPr>
                <w:rFonts w:hint="eastAsia"/>
                <w:sz w:val="20"/>
                <w:szCs w:val="20"/>
              </w:rPr>
              <w:br/>
              <w:t xml:space="preserve">3、切片产量：≥500KG/H；</w:t>
            </w:r>
            <w:r>
              <w:rPr>
                <w:rFonts w:hint="eastAsia"/>
                <w:sz w:val="20"/>
                <w:szCs w:val="20"/>
              </w:rPr>
              <w:br/>
              <w:t xml:space="preserve">4、切片厚度：2~30mm；</w:t>
            </w:r>
            <w:r>
              <w:rPr>
                <w:rFonts w:hint="eastAsia"/>
                <w:sz w:val="20"/>
                <w:szCs w:val="20"/>
              </w:rPr>
              <w:br/>
              <w:t xml:space="preserve">5、绞盘：6/8mm。</w:t>
            </w:r>
            <w:r/>
          </w:p>
        </w:tc>
        <w:tc>
          <w:tcPr>
            <w:tcBorders>
              <w:top w:val="none" w:color="000000" w:sz="4" w:space="0"/>
              <w:left w:val="none" w:color="000000" w:sz="4" w:space="0"/>
              <w:bottom w:val="single" w:color="auto" w:sz="4" w:space="0"/>
              <w:right w:val="single" w:color="auto"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31" w:type="dxa"/>
            <w:vAlign w:val="center"/>
            <w:textDirection w:val="lrTb"/>
            <w:noWrap/>
          </w:tcPr>
          <w:p>
            <w:pPr>
              <w:jc w:val="center"/>
              <w:rPr>
                <w:rFonts w:hint="eastAsia"/>
                <w:sz w:val="20"/>
                <w:szCs w:val="20"/>
              </w:rPr>
            </w:pPr>
            <w:r>
              <w:rPr>
                <w:rFonts w:hint="eastAsia"/>
                <w:sz w:val="20"/>
                <w:szCs w:val="20"/>
              </w:rPr>
              <w:t xml:space="preserve">6</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95</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多功能切菜机</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val="false"/>
          </w:tcPr>
          <w:p>
            <w:pP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1、成品形状：片、丝、丁；</w:t>
            </w:r>
            <w:r>
              <w:rPr>
                <w:rFonts w:hint="eastAsia"/>
                <w:sz w:val="20"/>
                <w:szCs w:val="20"/>
              </w:rPr>
              <w:br/>
              <w:t xml:space="preserve">2、叶菜部切长度：1－60mm(可调)；</w:t>
            </w:r>
            <w:r>
              <w:rPr>
                <w:rFonts w:hint="eastAsia"/>
                <w:sz w:val="20"/>
                <w:szCs w:val="20"/>
              </w:rPr>
              <w:br/>
              <w:t xml:space="preserve">3、产量：300－1000KG/H；</w:t>
            </w:r>
            <w:r>
              <w:rPr>
                <w:rFonts w:hint="eastAsia"/>
                <w:sz w:val="20"/>
                <w:szCs w:val="20"/>
              </w:rPr>
              <w:br/>
              <w:t xml:space="preserve">4、马力：1HP(切根菜部)+1/2HP(切叶菜部)+1/4HP(输送带)；</w:t>
            </w:r>
            <w:r>
              <w:rPr>
                <w:rFonts w:hint="eastAsia"/>
                <w:sz w:val="20"/>
                <w:szCs w:val="20"/>
              </w:rPr>
              <w:br/>
              <w:t xml:space="preserve">5、功率：≥1.3KW，电压：380V，皮带</w:t>
            </w:r>
            <w:r>
              <w:rPr>
                <w:rFonts w:hint="eastAsia"/>
                <w:sz w:val="20"/>
                <w:szCs w:val="20"/>
              </w:rPr>
              <w:t xml:space="preserve">宽：120 mm；</w:t>
            </w:r>
            <w:r>
              <w:rPr>
                <w:rFonts w:hint="eastAsia"/>
                <w:sz w:val="20"/>
                <w:szCs w:val="20"/>
              </w:rPr>
              <w:br/>
              <w:t xml:space="preserve">6、配件：至少含大双刀1组（切叶菜部）、切丁刀盘1组、切片刀盘1个、切丝刀盘1个；</w:t>
            </w:r>
            <w:r>
              <w:rPr>
                <w:rFonts w:hint="eastAsia"/>
                <w:sz w:val="20"/>
                <w:szCs w:val="20"/>
              </w:rPr>
              <w:br/>
              <w:t xml:space="preserve">7、整机采用SUS304-2B无磁不锈钢，变频调速简单直接；</w:t>
            </w:r>
            <w:r>
              <w:rPr>
                <w:rFonts w:hint="eastAsia"/>
                <w:sz w:val="20"/>
                <w:szCs w:val="20"/>
              </w:rPr>
              <w:br/>
              <w:t xml:space="preserve">8、将根茎类蔬菜：马铃薯、蕃薯、瓜类、竹笋、洋葱、以及叶菜类蔬菜：芹菜、大白菜、高丽菜、菠菜等蔬果类切成丁、片、丝条状。</w:t>
            </w:r>
            <w:r/>
          </w:p>
        </w:tc>
        <w:tc>
          <w:tcPr>
            <w:tcBorders>
              <w:top w:val="none" w:color="000000" w:sz="4" w:space="0"/>
              <w:left w:val="none" w:color="000000" w:sz="4" w:space="0"/>
              <w:bottom w:val="single" w:color="auto" w:sz="4" w:space="0"/>
              <w:right w:val="single" w:color="auto"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31" w:type="dxa"/>
            <w:vAlign w:val="center"/>
            <w:textDirection w:val="lrTb"/>
            <w:noWrap/>
          </w:tcPr>
          <w:p>
            <w:pPr>
              <w:jc w:val="center"/>
              <w:rPr>
                <w:rFonts w:hint="eastAsia"/>
                <w:sz w:val="20"/>
                <w:szCs w:val="20"/>
              </w:rPr>
            </w:pPr>
            <w:r>
              <w:rPr>
                <w:rFonts w:hint="eastAsia"/>
                <w:sz w:val="20"/>
                <w:szCs w:val="20"/>
              </w:rPr>
              <w:t xml:space="preserve">2</w:t>
            </w:r>
            <w:r/>
          </w:p>
        </w:tc>
        <w:tc>
          <w:tcPr>
            <w:tcBorders>
              <w:top w:val="none" w:color="000000" w:sz="4" w:space="0"/>
              <w:left w:val="none" w:color="000000" w:sz="4" w:space="0"/>
              <w:bottom w:val="single" w:color="000000" w:sz="4" w:space="0"/>
              <w:right w:val="single" w:color="000000" w:sz="4" w:space="0"/>
            </w:tcBorders>
            <w:tcW w:w="1630"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96</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辊式馒头机</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3992" w:type="dxa"/>
            <w:textDirection w:val="lrTb"/>
            <w:noWrap w:val="false"/>
          </w:tcPr>
          <w:p>
            <w:pPr>
              <w:rPr>
                <w:rFonts w:hint="eastAsia"/>
                <w:sz w:val="20"/>
                <w:szCs w:val="20"/>
              </w:rPr>
            </w:pPr>
            <w:r>
              <w:rPr>
                <w:rFonts w:hint="eastAsia"/>
                <w:sz w:val="20"/>
                <w:szCs w:val="20"/>
              </w:rPr>
              <w:t xml:space="preserve">1、馒头机（采用SUS304不锈钢）；</w:t>
            </w:r>
            <w:r>
              <w:rPr>
                <w:rFonts w:hint="eastAsia"/>
                <w:sz w:val="20"/>
                <w:szCs w:val="20"/>
              </w:rPr>
              <w:br/>
              <w:t xml:space="preserve">2、电压: 380V；</w:t>
            </w:r>
            <w:r>
              <w:rPr>
                <w:rFonts w:hint="eastAsia"/>
                <w:sz w:val="20"/>
                <w:szCs w:val="20"/>
              </w:rPr>
              <w:br/>
              <w:t xml:space="preserve">3、功率: ≥3KW；</w:t>
            </w:r>
            <w:r>
              <w:rPr>
                <w:rFonts w:hint="eastAsia"/>
                <w:sz w:val="20"/>
                <w:szCs w:val="20"/>
              </w:rPr>
              <w:br/>
              <w:t xml:space="preserve">4、产量: ≥4000个/H；</w:t>
            </w:r>
            <w:r/>
          </w:p>
        </w:tc>
        <w:tc>
          <w:tcPr>
            <w:tcBorders>
              <w:top w:val="none" w:color="000000" w:sz="4" w:space="0"/>
              <w:left w:val="none" w:color="000000" w:sz="4" w:space="0"/>
              <w:bottom w:val="single" w:color="auto" w:sz="4" w:space="0"/>
              <w:right w:val="single" w:color="auto"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000000" w:sz="4" w:space="0"/>
              <w:right w:val="single" w:color="000000" w:sz="4" w:space="0"/>
            </w:tcBorders>
            <w:tcW w:w="631" w:type="dxa"/>
            <w:vAlign w:val="center"/>
            <w:textDirection w:val="lrTb"/>
            <w:noWrap/>
          </w:tcPr>
          <w:p>
            <w:pPr>
              <w:jc w:val="center"/>
              <w:rPr>
                <w:rFonts w:hint="eastAsia"/>
                <w:sz w:val="20"/>
                <w:szCs w:val="20"/>
              </w:rPr>
            </w:pPr>
            <w:r>
              <w:rPr>
                <w:rFonts w:hint="eastAsia"/>
                <w:sz w:val="20"/>
                <w:szCs w:val="20"/>
              </w:rPr>
              <w:t xml:space="preserve">1</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97</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全自动包子机</w:t>
            </w: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tcPr>
          <w:p>
            <w:pP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1、全自动包子机；</w:t>
            </w:r>
            <w:r>
              <w:rPr>
                <w:rFonts w:hint="eastAsia"/>
                <w:sz w:val="20"/>
                <w:szCs w:val="20"/>
              </w:rPr>
              <w:br/>
              <w:t xml:space="preserve">2、电压: 380V；</w:t>
            </w:r>
            <w:r>
              <w:rPr>
                <w:rFonts w:hint="eastAsia"/>
                <w:sz w:val="20"/>
                <w:szCs w:val="20"/>
              </w:rPr>
              <w:br/>
              <w:t xml:space="preserve">3、功率: ≥1.2kw；</w:t>
            </w:r>
            <w:r>
              <w:rPr>
                <w:rFonts w:hint="eastAsia"/>
                <w:sz w:val="20"/>
                <w:szCs w:val="20"/>
              </w:rPr>
              <w:br/>
              <w:t xml:space="preserve">4、产量: 0-2000个/H；</w:t>
            </w:r>
            <w:r/>
          </w:p>
        </w:tc>
        <w:tc>
          <w:tcPr>
            <w:tcBorders>
              <w:top w:val="none" w:color="000000" w:sz="4" w:space="0"/>
              <w:left w:val="none" w:color="000000" w:sz="4" w:space="0"/>
              <w:bottom w:val="single" w:color="000000" w:sz="4" w:space="0"/>
              <w:right w:val="single" w:color="000000"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31" w:type="dxa"/>
            <w:vAlign w:val="center"/>
            <w:textDirection w:val="lrTb"/>
            <w:noWrap/>
          </w:tcPr>
          <w:p>
            <w:pPr>
              <w:jc w:val="center"/>
              <w:rPr>
                <w:rFonts w:hint="eastAsia"/>
                <w:sz w:val="20"/>
                <w:szCs w:val="20"/>
              </w:rPr>
            </w:pPr>
            <w:r>
              <w:rPr>
                <w:rFonts w:hint="eastAsia"/>
                <w:sz w:val="20"/>
                <w:szCs w:val="20"/>
              </w:rPr>
              <w:t xml:space="preserve">1</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98</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毛刷去皮机</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val="false"/>
          </w:tcPr>
          <w:p>
            <w:pP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1、适用范围：马铃薯、胡萝卜、甜菜、莲藕、甘薯、芋头、大头菜等茎类蔬果清洗去皮；</w:t>
            </w:r>
            <w:r>
              <w:rPr>
                <w:rFonts w:hint="eastAsia"/>
                <w:sz w:val="20"/>
                <w:szCs w:val="20"/>
              </w:rPr>
              <w:br/>
              <w:t xml:space="preserve">2、加工能力：300-500KG/H；</w:t>
            </w:r>
            <w:r>
              <w:rPr>
                <w:rFonts w:hint="eastAsia"/>
                <w:sz w:val="20"/>
                <w:szCs w:val="20"/>
              </w:rPr>
              <w:br/>
              <w:t xml:space="preserve">3、功率：≥1.1KW，电压：380V。</w:t>
            </w:r>
            <w:r/>
          </w:p>
        </w:tc>
        <w:tc>
          <w:tcPr>
            <w:tcBorders>
              <w:top w:val="none" w:color="000000" w:sz="4" w:space="0"/>
              <w:left w:val="none" w:color="000000" w:sz="4" w:space="0"/>
              <w:bottom w:val="single" w:color="auto" w:sz="4" w:space="0"/>
              <w:right w:val="single" w:color="auto"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31" w:type="dxa"/>
            <w:vAlign w:val="center"/>
            <w:textDirection w:val="lrTb"/>
            <w:noWrap/>
          </w:tcPr>
          <w:p>
            <w:pPr>
              <w:jc w:val="center"/>
              <w:rPr>
                <w:rFonts w:hint="eastAsia"/>
                <w:sz w:val="20"/>
                <w:szCs w:val="20"/>
              </w:rPr>
            </w:pPr>
            <w:r>
              <w:rPr>
                <w:rFonts w:hint="eastAsia"/>
                <w:sz w:val="20"/>
                <w:szCs w:val="20"/>
              </w:rPr>
              <w:t xml:space="preserve">1</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99</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软水机</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1、进/出水管径 1”（PT）；</w:t>
            </w:r>
            <w:r>
              <w:rPr>
                <w:rFonts w:hint="eastAsia"/>
                <w:sz w:val="20"/>
                <w:szCs w:val="20"/>
              </w:rPr>
              <w:br/>
              <w:t xml:space="preserve">2、软水流量：1.1T/H；</w:t>
            </w:r>
            <w:r>
              <w:rPr>
                <w:rFonts w:hint="eastAsia"/>
                <w:sz w:val="20"/>
                <w:szCs w:val="20"/>
              </w:rPr>
              <w:br/>
              <w:t xml:space="preserve">3、再生剂储量：≥20KG；</w:t>
            </w:r>
            <w:r>
              <w:rPr>
                <w:rFonts w:hint="eastAsia"/>
                <w:sz w:val="20"/>
                <w:szCs w:val="20"/>
              </w:rPr>
              <w:br/>
              <w:t xml:space="preserve">4、控制方式：自动控制器；</w:t>
            </w:r>
            <w:r>
              <w:rPr>
                <w:rFonts w:hint="eastAsia"/>
                <w:sz w:val="20"/>
                <w:szCs w:val="20"/>
              </w:rPr>
              <w:br/>
              <w:t xml:space="preserve">5、工作压力范围：0.15-0.35Mpa；</w:t>
            </w:r>
            <w:r>
              <w:rPr>
                <w:rFonts w:hint="eastAsia"/>
                <w:sz w:val="20"/>
                <w:szCs w:val="20"/>
              </w:rPr>
              <w:br/>
              <w:t xml:space="preserve">6、周期再生剂消耗量：1.8KG/次；</w:t>
            </w:r>
            <w:r>
              <w:rPr>
                <w:rFonts w:hint="eastAsia"/>
                <w:sz w:val="20"/>
                <w:szCs w:val="20"/>
              </w:rPr>
              <w:br/>
              <w:t xml:space="preserve">7、主机桶体：复合材料（食品级）。</w:t>
            </w:r>
            <w:r/>
          </w:p>
        </w:tc>
        <w:tc>
          <w:tcPr>
            <w:tcBorders>
              <w:top w:val="none" w:color="000000" w:sz="4" w:space="0"/>
              <w:left w:val="none" w:color="000000" w:sz="4" w:space="0"/>
              <w:bottom w:val="single" w:color="auto" w:sz="4" w:space="0"/>
              <w:right w:val="single" w:color="auto"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31" w:type="dxa"/>
            <w:vAlign w:val="center"/>
            <w:textDirection w:val="lrTb"/>
            <w:noWrap/>
          </w:tcPr>
          <w:p>
            <w:pPr>
              <w:jc w:val="center"/>
              <w:rPr>
                <w:rFonts w:hint="eastAsia"/>
                <w:sz w:val="20"/>
                <w:szCs w:val="20"/>
              </w:rPr>
            </w:pPr>
            <w:r>
              <w:rPr>
                <w:rFonts w:hint="eastAsia"/>
                <w:sz w:val="20"/>
                <w:szCs w:val="20"/>
              </w:rPr>
              <w:t xml:space="preserve">2</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100</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点菜柜</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1500*820*1900</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1、温度范围：0~5℃ 配全自动电子温控器；</w:t>
            </w:r>
            <w:r>
              <w:rPr>
                <w:rFonts w:hint="eastAsia"/>
                <w:sz w:val="20"/>
                <w:szCs w:val="20"/>
              </w:rPr>
              <w:br/>
              <w:t xml:space="preserve">2、制冷方式：风冷；</w:t>
            </w:r>
            <w:r>
              <w:rPr>
                <w:rFonts w:hint="eastAsia"/>
                <w:sz w:val="20"/>
                <w:szCs w:val="20"/>
              </w:rPr>
              <w:br/>
              <w:t xml:space="preserve">3、额定功率：≥950W；</w:t>
            </w:r>
            <w:r>
              <w:rPr>
                <w:rFonts w:hint="eastAsia"/>
                <w:sz w:val="20"/>
                <w:szCs w:val="20"/>
              </w:rPr>
              <w:br/>
              <w:t xml:space="preserve">4、150重力子弹脚；</w:t>
            </w:r>
            <w:r>
              <w:rPr>
                <w:rFonts w:hint="eastAsia"/>
                <w:sz w:val="20"/>
                <w:szCs w:val="20"/>
              </w:rPr>
              <w:br/>
              <w:t xml:space="preserve">5、外部材质：≥0.7mm 采用SUS304不锈</w:t>
            </w:r>
            <w:r>
              <w:rPr>
                <w:rFonts w:hint="eastAsia"/>
                <w:sz w:val="20"/>
                <w:szCs w:val="20"/>
              </w:rPr>
              <w:t xml:space="preserve">钢，内部材质：≥0.7mm 采用SUS304不锈钢；</w:t>
            </w:r>
            <w:r>
              <w:rPr>
                <w:rFonts w:hint="eastAsia"/>
                <w:sz w:val="20"/>
                <w:szCs w:val="20"/>
              </w:rPr>
              <w:br/>
              <w:t xml:space="preserve">6、聚胺脂隔热保温材料≥65mm保温层；</w:t>
            </w:r>
            <w:r>
              <w:rPr>
                <w:rFonts w:hint="eastAsia"/>
                <w:sz w:val="20"/>
                <w:szCs w:val="20"/>
              </w:rPr>
              <w:br/>
              <w:t xml:space="preserve">7、制冷剂：R404a，制冷系统全铜管制造；</w:t>
            </w:r>
            <w:r>
              <w:rPr>
                <w:rFonts w:hint="eastAsia"/>
                <w:sz w:val="20"/>
                <w:szCs w:val="20"/>
              </w:rPr>
              <w:br/>
              <w:t xml:space="preserve">8、冷凝器配有易清洗更换防尘网。</w:t>
            </w:r>
            <w:r/>
          </w:p>
        </w:tc>
        <w:tc>
          <w:tcPr>
            <w:tcBorders>
              <w:top w:val="none" w:color="000000" w:sz="4" w:space="0"/>
              <w:left w:val="none" w:color="000000" w:sz="4" w:space="0"/>
              <w:bottom w:val="single" w:color="auto" w:sz="4" w:space="0"/>
              <w:right w:val="single" w:color="auto"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31" w:type="dxa"/>
            <w:vAlign w:val="center"/>
            <w:textDirection w:val="lrTb"/>
            <w:noWrap/>
          </w:tcPr>
          <w:p>
            <w:pPr>
              <w:jc w:val="center"/>
              <w:rPr>
                <w:rFonts w:hint="eastAsia"/>
                <w:sz w:val="20"/>
                <w:szCs w:val="20"/>
              </w:rPr>
            </w:pPr>
            <w:r>
              <w:rPr>
                <w:rFonts w:hint="eastAsia"/>
                <w:sz w:val="20"/>
                <w:szCs w:val="20"/>
              </w:rPr>
              <w:t xml:space="preserve">2</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101</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电饼铛</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val="false"/>
          </w:tcPr>
          <w:p>
            <w:pP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1、功率：≥4.8KW，电压：380V；</w:t>
            </w:r>
            <w:r>
              <w:rPr>
                <w:rFonts w:hint="eastAsia"/>
                <w:sz w:val="20"/>
                <w:szCs w:val="20"/>
              </w:rPr>
              <w:br/>
              <w:t xml:space="preserve">2、内径：≥53cm；</w:t>
            </w:r>
            <w:r>
              <w:rPr>
                <w:rFonts w:hint="eastAsia"/>
                <w:sz w:val="20"/>
                <w:szCs w:val="20"/>
              </w:rPr>
              <w:br/>
              <w:t xml:space="preserve">3、加热:电热管；</w:t>
            </w:r>
            <w:r>
              <w:rPr>
                <w:rFonts w:hint="eastAsia"/>
                <w:sz w:val="20"/>
                <w:szCs w:val="20"/>
              </w:rPr>
              <w:br/>
              <w:t xml:space="preserve">4、全部采用SUS304不锈钢板，锅体采用一次拉伸锅体；</w:t>
            </w:r>
            <w:r>
              <w:rPr>
                <w:rFonts w:hint="eastAsia"/>
                <w:sz w:val="20"/>
                <w:szCs w:val="20"/>
              </w:rPr>
              <w:br/>
              <w:t xml:space="preserve">5、食品级430铸管不锈钢，加热更快更均匀；</w:t>
            </w:r>
            <w:r>
              <w:rPr>
                <w:rFonts w:hint="eastAsia"/>
                <w:sz w:val="20"/>
                <w:szCs w:val="20"/>
              </w:rPr>
              <w:br/>
              <w:t xml:space="preserve">6、操控方式采用旋钮数显温控，简便快捷，精准控温，显示温度精准，温度误差小。</w:t>
            </w:r>
            <w:r/>
          </w:p>
        </w:tc>
        <w:tc>
          <w:tcPr>
            <w:tcBorders>
              <w:top w:val="none" w:color="000000" w:sz="4" w:space="0"/>
              <w:left w:val="none" w:color="000000" w:sz="4" w:space="0"/>
              <w:bottom w:val="single" w:color="auto" w:sz="4" w:space="0"/>
              <w:right w:val="single" w:color="auto"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31" w:type="dxa"/>
            <w:vAlign w:val="center"/>
            <w:textDirection w:val="lrTb"/>
            <w:noWrap/>
          </w:tcPr>
          <w:p>
            <w:pPr>
              <w:jc w:val="center"/>
              <w:rPr>
                <w:rFonts w:hint="eastAsia"/>
                <w:sz w:val="20"/>
                <w:szCs w:val="20"/>
              </w:rPr>
            </w:pPr>
            <w:r>
              <w:rPr>
                <w:rFonts w:hint="eastAsia"/>
                <w:sz w:val="20"/>
                <w:szCs w:val="20"/>
              </w:rPr>
              <w:t xml:space="preserve">4</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102</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单通移门碗柜</w:t>
            </w: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tcPr>
          <w:p>
            <w:pPr>
              <w:rPr>
                <w:rFonts w:hint="eastAsia"/>
                <w:sz w:val="20"/>
                <w:szCs w:val="20"/>
              </w:rPr>
            </w:pPr>
            <w:r>
              <w:rPr>
                <w:rFonts w:hint="eastAsia"/>
                <w:sz w:val="20"/>
                <w:szCs w:val="20"/>
              </w:rPr>
              <w:t xml:space="preserve">1200*500*1800</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1、柜体:采用SUS304 ≥1.2mm不锈钢板；</w:t>
            </w:r>
            <w:r>
              <w:rPr>
                <w:rFonts w:hint="eastAsia"/>
                <w:sz w:val="20"/>
                <w:szCs w:val="20"/>
              </w:rPr>
              <w:br/>
              <w:t xml:space="preserve">2、侧板:采用SUS304 ≥1.2mm不锈钢板；</w:t>
            </w:r>
            <w:r>
              <w:rPr>
                <w:rFonts w:hint="eastAsia"/>
                <w:sz w:val="20"/>
                <w:szCs w:val="20"/>
              </w:rPr>
              <w:br/>
              <w:t xml:space="preserve">3、层板:采用SUS304 ≥1.2mm不锈钢板；</w:t>
            </w:r>
            <w:r>
              <w:rPr>
                <w:rFonts w:hint="eastAsia"/>
                <w:sz w:val="20"/>
                <w:szCs w:val="20"/>
              </w:rPr>
              <w:br/>
              <w:t xml:space="preserve">4、移门:采用SUS304 ≥1.2mm双层不锈钢板；</w:t>
            </w:r>
            <w:r>
              <w:rPr>
                <w:rFonts w:hint="eastAsia"/>
                <w:sz w:val="20"/>
                <w:szCs w:val="20"/>
              </w:rPr>
              <w:br/>
              <w:t xml:space="preserve">5、加强筋：采用SUS304 ≥1.2mm不锈钢板；</w:t>
            </w:r>
            <w:r>
              <w:rPr>
                <w:rFonts w:hint="eastAsia"/>
                <w:sz w:val="20"/>
                <w:szCs w:val="20"/>
              </w:rPr>
              <w:br/>
              <w:t xml:space="preserve">6、不锈钢可调重型脚。</w:t>
            </w:r>
            <w:r/>
          </w:p>
        </w:tc>
        <w:tc>
          <w:tcPr>
            <w:tcBorders>
              <w:top w:val="none" w:color="000000" w:sz="4" w:space="0"/>
              <w:left w:val="none" w:color="000000" w:sz="4" w:space="0"/>
              <w:bottom w:val="single" w:color="000000" w:sz="4" w:space="0"/>
              <w:right w:val="single" w:color="000000"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000000" w:sz="4" w:space="0"/>
              <w:right w:val="single" w:color="000000" w:sz="4" w:space="0"/>
            </w:tcBorders>
            <w:tcW w:w="631" w:type="dxa"/>
            <w:vAlign w:val="center"/>
            <w:textDirection w:val="lrTb"/>
            <w:noWrap/>
          </w:tcPr>
          <w:p>
            <w:pPr>
              <w:jc w:val="center"/>
              <w:rPr>
                <w:rFonts w:hint="eastAsia"/>
                <w:sz w:val="20"/>
                <w:szCs w:val="20"/>
              </w:rPr>
            </w:pPr>
            <w:r>
              <w:rPr>
                <w:rFonts w:hint="eastAsia"/>
                <w:sz w:val="20"/>
                <w:szCs w:val="20"/>
              </w:rPr>
              <w:t xml:space="preserve">10</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103</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单头矮汤炉</w:t>
            </w: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tcPr>
          <w:p>
            <w:pPr>
              <w:rPr>
                <w:rFonts w:hint="eastAsia"/>
                <w:sz w:val="20"/>
                <w:szCs w:val="20"/>
              </w:rPr>
            </w:pPr>
            <w:r>
              <w:rPr>
                <w:rFonts w:hint="eastAsia"/>
                <w:sz w:val="20"/>
                <w:szCs w:val="20"/>
              </w:rPr>
              <w:t xml:space="preserve">600*750*500+300</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1、炉面：采用SUS304 ≥1.5mm不锈钢板；</w:t>
            </w:r>
            <w:r>
              <w:rPr>
                <w:rFonts w:hint="eastAsia"/>
                <w:sz w:val="20"/>
                <w:szCs w:val="20"/>
              </w:rPr>
              <w:br/>
              <w:t xml:space="preserve">2、围板：采用SUS304 ≥1.2mm不锈钢板；</w:t>
            </w:r>
            <w:r>
              <w:rPr>
                <w:rFonts w:hint="eastAsia"/>
                <w:sz w:val="20"/>
                <w:szCs w:val="20"/>
              </w:rPr>
              <w:br/>
              <w:t xml:space="preserve">3、炉架：采用SUS304 </w:t>
            </w:r>
            <w:r>
              <w:rPr>
                <w:rFonts w:ascii="Calibri" w:hAnsi="Calibri" w:cs="Calibri"/>
                <w:sz w:val="20"/>
                <w:szCs w:val="20"/>
              </w:rPr>
              <w:t xml:space="preserve">ф</w:t>
            </w:r>
            <w:r>
              <w:rPr>
                <w:rFonts w:hint="eastAsia"/>
                <w:sz w:val="20"/>
                <w:szCs w:val="20"/>
              </w:rPr>
              <w:t xml:space="preserve">38mm，厚度≥1.5mm不锈钢管；</w:t>
            </w:r>
            <w:r>
              <w:rPr>
                <w:rFonts w:hint="eastAsia"/>
                <w:sz w:val="20"/>
                <w:szCs w:val="20"/>
              </w:rPr>
              <w:br/>
              <w:t xml:space="preserve">4、电子点火节能炉头，带熄火保护装置，配可调子弹脚。</w:t>
            </w:r>
            <w:r/>
          </w:p>
        </w:tc>
        <w:tc>
          <w:tcPr>
            <w:tcBorders>
              <w:top w:val="none" w:color="000000" w:sz="4" w:space="0"/>
              <w:left w:val="none" w:color="000000" w:sz="4" w:space="0"/>
              <w:bottom w:val="single" w:color="000000" w:sz="4" w:space="0"/>
              <w:right w:val="single" w:color="000000"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000000" w:sz="4" w:space="0"/>
              <w:right w:val="single" w:color="000000" w:sz="4" w:space="0"/>
            </w:tcBorders>
            <w:tcW w:w="631" w:type="dxa"/>
            <w:vAlign w:val="center"/>
            <w:textDirection w:val="lrTb"/>
            <w:noWrap/>
          </w:tcPr>
          <w:p>
            <w:pPr>
              <w:jc w:val="center"/>
              <w:rPr>
                <w:rFonts w:hint="eastAsia"/>
                <w:sz w:val="20"/>
                <w:szCs w:val="20"/>
              </w:rPr>
            </w:pPr>
            <w:r>
              <w:rPr>
                <w:rFonts w:hint="eastAsia"/>
                <w:sz w:val="20"/>
                <w:szCs w:val="20"/>
              </w:rPr>
              <w:t xml:space="preserve">7</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104</w:t>
            </w:r>
            <w:r/>
          </w:p>
        </w:tc>
        <w:tc>
          <w:tcPr>
            <w:tcBorders>
              <w:top w:val="none" w:color="000000" w:sz="4" w:space="0"/>
              <w:left w:val="none" w:color="000000" w:sz="4" w:space="0"/>
              <w:bottom w:val="single" w:color="000000" w:sz="4" w:space="0"/>
              <w:right w:val="single" w:color="000000" w:sz="4" w:space="0"/>
            </w:tcBorders>
            <w:tcW w:w="1637" w:type="dxa"/>
            <w:vAlign w:val="center"/>
            <w:textDirection w:val="lrTb"/>
            <w:noWrap/>
          </w:tcPr>
          <w:p>
            <w:pPr>
              <w:rPr>
                <w:rFonts w:hint="eastAsia"/>
                <w:sz w:val="20"/>
                <w:szCs w:val="20"/>
              </w:rPr>
            </w:pPr>
            <w:r>
              <w:rPr>
                <w:rFonts w:hint="eastAsia"/>
                <w:sz w:val="20"/>
                <w:szCs w:val="20"/>
              </w:rPr>
              <w:t xml:space="preserve">单头锅贴炉</w:t>
            </w: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tcPr>
          <w:p>
            <w:pPr>
              <w:rPr>
                <w:rFonts w:hint="eastAsia"/>
                <w:sz w:val="20"/>
                <w:szCs w:val="20"/>
              </w:rPr>
            </w:pPr>
            <w:r>
              <w:rPr>
                <w:rFonts w:hint="eastAsia"/>
                <w:sz w:val="20"/>
                <w:szCs w:val="20"/>
              </w:rPr>
              <w:t xml:space="preserve">1000*1200*800+400</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1、炉面：采用SUS304 ≥1.5mm不锈钢板；</w:t>
            </w:r>
            <w:r>
              <w:rPr>
                <w:rFonts w:hint="eastAsia"/>
                <w:sz w:val="20"/>
                <w:szCs w:val="20"/>
              </w:rPr>
              <w:br/>
              <w:t xml:space="preserve">2、围板：采用SUS304 ≥1.2mm不锈钢板；</w:t>
            </w:r>
            <w:r>
              <w:rPr>
                <w:rFonts w:hint="eastAsia"/>
                <w:sz w:val="20"/>
                <w:szCs w:val="20"/>
              </w:rPr>
              <w:br/>
            </w:r>
            <w:r>
              <w:rPr>
                <w:rFonts w:hint="eastAsia"/>
                <w:sz w:val="20"/>
                <w:szCs w:val="20"/>
              </w:rPr>
              <w:t xml:space="preserve">3、炉架：采用SUS304 </w:t>
            </w:r>
            <w:r>
              <w:rPr>
                <w:rFonts w:ascii="Calibri" w:hAnsi="Calibri" w:cs="Calibri"/>
                <w:sz w:val="20"/>
                <w:szCs w:val="20"/>
              </w:rPr>
              <w:t xml:space="preserve">ф</w:t>
            </w:r>
            <w:r>
              <w:rPr>
                <w:rFonts w:hint="eastAsia"/>
                <w:sz w:val="20"/>
                <w:szCs w:val="20"/>
              </w:rPr>
              <w:t xml:space="preserve">38mm，厚度≥1.5mm不锈钢管；</w:t>
            </w:r>
            <w:r>
              <w:rPr>
                <w:rFonts w:hint="eastAsia"/>
                <w:sz w:val="20"/>
                <w:szCs w:val="20"/>
              </w:rPr>
              <w:br/>
              <w:t xml:space="preserve">4、电子点火节能炉头，带熄火保护装置，配可调子弹脚。</w:t>
            </w:r>
            <w:r/>
          </w:p>
        </w:tc>
        <w:tc>
          <w:tcPr>
            <w:tcBorders>
              <w:top w:val="none" w:color="000000" w:sz="4" w:space="0"/>
              <w:left w:val="none" w:color="000000" w:sz="4" w:space="0"/>
              <w:bottom w:val="single" w:color="000000" w:sz="4" w:space="0"/>
              <w:right w:val="single" w:color="000000"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000000" w:sz="4" w:space="0"/>
              <w:right w:val="single" w:color="000000" w:sz="4" w:space="0"/>
            </w:tcBorders>
            <w:tcW w:w="631" w:type="dxa"/>
            <w:vAlign w:val="center"/>
            <w:textDirection w:val="lrTb"/>
            <w:noWrap/>
          </w:tcPr>
          <w:p>
            <w:pPr>
              <w:jc w:val="center"/>
              <w:rPr>
                <w:rFonts w:hint="eastAsia"/>
                <w:sz w:val="20"/>
                <w:szCs w:val="20"/>
              </w:rPr>
            </w:pPr>
            <w:r>
              <w:rPr>
                <w:rFonts w:hint="eastAsia"/>
                <w:sz w:val="20"/>
                <w:szCs w:val="20"/>
              </w:rPr>
              <w:t xml:space="preserve">2</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105</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val="false"/>
          </w:tcPr>
          <w:p>
            <w:pPr>
              <w:rPr>
                <w:rFonts w:hint="eastAsia"/>
                <w:sz w:val="20"/>
                <w:szCs w:val="20"/>
              </w:rPr>
            </w:pPr>
            <w:r>
              <w:rPr>
                <w:rFonts w:hint="eastAsia"/>
                <w:sz w:val="20"/>
                <w:szCs w:val="20"/>
              </w:rPr>
              <w:t xml:space="preserve">定制12格保温台</w:t>
            </w:r>
            <w:r>
              <w:rPr>
                <w:rFonts w:hint="eastAsia"/>
                <w:sz w:val="20"/>
                <w:szCs w:val="20"/>
              </w:rPr>
              <w:br/>
              <w:t xml:space="preserve">（蒸汽式)</w:t>
            </w: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tcPr>
          <w:p>
            <w:pPr>
              <w:rPr>
                <w:rFonts w:hint="eastAsia"/>
                <w:sz w:val="20"/>
                <w:szCs w:val="20"/>
              </w:rPr>
            </w:pPr>
            <w:r>
              <w:rPr>
                <w:rFonts w:hint="eastAsia"/>
                <w:sz w:val="20"/>
                <w:szCs w:val="20"/>
              </w:rPr>
              <w:t xml:space="preserve">2200*1100*800</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1、台面：采用SUS304 ≥1.5mm不锈钢板；</w:t>
            </w:r>
            <w:r>
              <w:rPr>
                <w:rFonts w:hint="eastAsia"/>
                <w:sz w:val="20"/>
                <w:szCs w:val="20"/>
              </w:rPr>
              <w:br/>
              <w:t xml:space="preserve">2、侧板：采用SUS304 ≥1.2mm不锈钢板；</w:t>
            </w:r>
            <w:r>
              <w:rPr>
                <w:rFonts w:hint="eastAsia"/>
                <w:sz w:val="20"/>
                <w:szCs w:val="20"/>
              </w:rPr>
              <w:br/>
              <w:t xml:space="preserve">3、层板：采用SUS304 ≥1.2mm不锈钢板；</w:t>
            </w:r>
            <w:r>
              <w:rPr>
                <w:rFonts w:hint="eastAsia"/>
                <w:sz w:val="20"/>
                <w:szCs w:val="20"/>
              </w:rPr>
              <w:br/>
              <w:t xml:space="preserve">4、配吊轮；</w:t>
            </w:r>
            <w:r>
              <w:rPr>
                <w:rFonts w:hint="eastAsia"/>
                <w:sz w:val="20"/>
                <w:szCs w:val="20"/>
              </w:rPr>
              <w:br/>
              <w:t xml:space="preserve">5、加强筋：采用SUS304 ≥1.2mm不锈钢板；</w:t>
            </w:r>
            <w:r>
              <w:rPr>
                <w:rFonts w:hint="eastAsia"/>
                <w:sz w:val="20"/>
                <w:szCs w:val="20"/>
              </w:rPr>
              <w:br/>
              <w:t xml:space="preserve">6、不锈钢可调重型脚。</w:t>
            </w:r>
            <w:r/>
          </w:p>
        </w:tc>
        <w:tc>
          <w:tcPr>
            <w:tcBorders>
              <w:top w:val="none" w:color="000000" w:sz="4" w:space="0"/>
              <w:left w:val="none" w:color="000000" w:sz="4" w:space="0"/>
              <w:bottom w:val="single" w:color="000000" w:sz="4" w:space="0"/>
              <w:right w:val="single" w:color="000000"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000000" w:sz="4" w:space="0"/>
              <w:right w:val="single" w:color="000000" w:sz="4" w:space="0"/>
            </w:tcBorders>
            <w:tcW w:w="631" w:type="dxa"/>
            <w:vAlign w:val="center"/>
            <w:textDirection w:val="lrTb"/>
            <w:noWrap/>
          </w:tcPr>
          <w:p>
            <w:pPr>
              <w:jc w:val="center"/>
              <w:rPr>
                <w:rFonts w:hint="eastAsia"/>
                <w:sz w:val="20"/>
                <w:szCs w:val="20"/>
              </w:rPr>
            </w:pPr>
            <w:r>
              <w:rPr>
                <w:rFonts w:hint="eastAsia"/>
                <w:sz w:val="20"/>
                <w:szCs w:val="20"/>
              </w:rPr>
              <w:t xml:space="preserve">17</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106</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定制移动周转车</w:t>
            </w: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tcPr>
          <w:p>
            <w:pPr>
              <w:rPr>
                <w:rFonts w:hint="eastAsia"/>
                <w:sz w:val="20"/>
                <w:szCs w:val="20"/>
              </w:rPr>
            </w:pPr>
            <w:r>
              <w:rPr>
                <w:rFonts w:hint="eastAsia"/>
                <w:sz w:val="20"/>
                <w:szCs w:val="20"/>
              </w:rPr>
              <w:t xml:space="preserve">700*500*1600</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1、层板：采用SUS304 ≥1.2mm不锈钢板；</w:t>
            </w:r>
            <w:r>
              <w:rPr>
                <w:rFonts w:hint="eastAsia"/>
                <w:sz w:val="20"/>
                <w:szCs w:val="20"/>
              </w:rPr>
              <w:br/>
              <w:t xml:space="preserve">2、加强筋：采用SUS304 ≥1.2mm不锈钢板；</w:t>
            </w:r>
            <w:r>
              <w:rPr>
                <w:rFonts w:hint="eastAsia"/>
                <w:sz w:val="20"/>
                <w:szCs w:val="20"/>
              </w:rPr>
              <w:br/>
              <w:t xml:space="preserve">3、脚架：采用SUS304 </w:t>
            </w:r>
            <w:r>
              <w:rPr>
                <w:rFonts w:ascii="Calibri" w:hAnsi="Calibri" w:cs="Calibri"/>
                <w:sz w:val="20"/>
                <w:szCs w:val="20"/>
              </w:rPr>
              <w:t xml:space="preserve">ф</w:t>
            </w:r>
            <w:r>
              <w:rPr>
                <w:rFonts w:hint="eastAsia"/>
                <w:sz w:val="20"/>
                <w:szCs w:val="20"/>
              </w:rPr>
              <w:t xml:space="preserve">38mm，厚度≥1.5mm定形管；</w:t>
            </w:r>
            <w:r>
              <w:rPr>
                <w:rFonts w:hint="eastAsia"/>
                <w:sz w:val="20"/>
                <w:szCs w:val="20"/>
              </w:rPr>
              <w:br/>
              <w:t xml:space="preserve">4、配静音万向轮带刹车。</w:t>
            </w:r>
            <w:r/>
          </w:p>
        </w:tc>
        <w:tc>
          <w:tcPr>
            <w:tcBorders>
              <w:top w:val="none" w:color="000000" w:sz="4" w:space="0"/>
              <w:left w:val="none" w:color="000000" w:sz="4" w:space="0"/>
              <w:bottom w:val="single" w:color="000000" w:sz="4" w:space="0"/>
              <w:right w:val="single" w:color="000000"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000000" w:sz="4" w:space="0"/>
              <w:right w:val="single" w:color="000000" w:sz="4" w:space="0"/>
            </w:tcBorders>
            <w:tcW w:w="631" w:type="dxa"/>
            <w:vAlign w:val="center"/>
            <w:textDirection w:val="lrTb"/>
            <w:noWrap/>
          </w:tcPr>
          <w:p>
            <w:pPr>
              <w:jc w:val="center"/>
              <w:rPr>
                <w:rFonts w:hint="eastAsia"/>
                <w:sz w:val="20"/>
                <w:szCs w:val="20"/>
              </w:rPr>
            </w:pPr>
            <w:r>
              <w:rPr>
                <w:rFonts w:hint="eastAsia"/>
                <w:sz w:val="20"/>
                <w:szCs w:val="20"/>
              </w:rPr>
              <w:t xml:space="preserve">5</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107</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五格保温台</w:t>
            </w: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tcPr>
          <w:p>
            <w:pPr>
              <w:rPr>
                <w:rFonts w:hint="eastAsia"/>
                <w:sz w:val="20"/>
                <w:szCs w:val="20"/>
              </w:rPr>
            </w:pPr>
            <w:r>
              <w:rPr>
                <w:rFonts w:hint="eastAsia"/>
                <w:sz w:val="20"/>
                <w:szCs w:val="20"/>
              </w:rPr>
              <w:t xml:space="preserve">1800*700*800</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1、台面：采用SUS304 ≥1.5mm不锈钢板；</w:t>
            </w:r>
            <w:r>
              <w:rPr>
                <w:rFonts w:hint="eastAsia"/>
                <w:sz w:val="20"/>
                <w:szCs w:val="20"/>
              </w:rPr>
              <w:br/>
              <w:t xml:space="preserve">2、侧板：采用SUS304 ≥1.2mm不锈钢板；</w:t>
            </w:r>
            <w:r>
              <w:rPr>
                <w:rFonts w:hint="eastAsia"/>
                <w:sz w:val="20"/>
                <w:szCs w:val="20"/>
              </w:rPr>
              <w:br/>
              <w:t xml:space="preserve">3、层板：采用SUS304 ≥1.2mm不锈钢板；</w:t>
            </w:r>
            <w:r>
              <w:rPr>
                <w:rFonts w:hint="eastAsia"/>
                <w:sz w:val="20"/>
                <w:szCs w:val="20"/>
              </w:rPr>
              <w:br/>
              <w:t xml:space="preserve">4、SUS304不锈钢发热管；</w:t>
            </w:r>
            <w:r>
              <w:rPr>
                <w:rFonts w:hint="eastAsia"/>
                <w:sz w:val="20"/>
                <w:szCs w:val="20"/>
              </w:rPr>
              <w:br/>
              <w:t xml:space="preserve">5、功率：≥3KW；</w:t>
            </w:r>
            <w:r>
              <w:rPr>
                <w:rFonts w:hint="eastAsia"/>
                <w:sz w:val="20"/>
                <w:szCs w:val="20"/>
              </w:rPr>
              <w:br/>
              <w:t xml:space="preserve">6、加强筋：采用SUS304 ≥1.2mm不锈钢板；</w:t>
            </w:r>
            <w:r>
              <w:rPr>
                <w:rFonts w:hint="eastAsia"/>
                <w:sz w:val="20"/>
                <w:szCs w:val="20"/>
              </w:rPr>
              <w:br/>
              <w:t xml:space="preserve">7、不锈钢可调重型脚。</w:t>
            </w:r>
            <w:r/>
          </w:p>
        </w:tc>
        <w:tc>
          <w:tcPr>
            <w:tcBorders>
              <w:top w:val="none" w:color="000000" w:sz="4" w:space="0"/>
              <w:left w:val="none" w:color="000000" w:sz="4" w:space="0"/>
              <w:bottom w:val="single" w:color="000000" w:sz="4" w:space="0"/>
              <w:right w:val="single" w:color="000000"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000000" w:sz="4" w:space="0"/>
              <w:right w:val="single" w:color="000000" w:sz="4" w:space="0"/>
            </w:tcBorders>
            <w:tcW w:w="631" w:type="dxa"/>
            <w:vAlign w:val="center"/>
            <w:textDirection w:val="lrTb"/>
            <w:noWrap/>
          </w:tcPr>
          <w:p>
            <w:pPr>
              <w:jc w:val="center"/>
              <w:rPr>
                <w:rFonts w:hint="eastAsia"/>
                <w:sz w:val="20"/>
                <w:szCs w:val="20"/>
              </w:rPr>
            </w:pPr>
            <w:r>
              <w:rPr>
                <w:rFonts w:hint="eastAsia"/>
                <w:sz w:val="20"/>
                <w:szCs w:val="20"/>
              </w:rPr>
              <w:t xml:space="preserve">15</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108</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val="false"/>
          </w:tcPr>
          <w:p>
            <w:pPr>
              <w:rPr>
                <w:rFonts w:hint="eastAsia"/>
                <w:sz w:val="20"/>
                <w:szCs w:val="20"/>
              </w:rPr>
            </w:pPr>
            <w:r>
              <w:rPr>
                <w:rFonts w:hint="eastAsia"/>
                <w:sz w:val="20"/>
                <w:szCs w:val="20"/>
              </w:rPr>
              <w:t xml:space="preserve">燃气可倾式夹层锅</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1、全SUS304不锈钢结构、整体封闭无死角；</w:t>
            </w:r>
            <w:r>
              <w:rPr>
                <w:rFonts w:hint="eastAsia"/>
                <w:sz w:val="20"/>
                <w:szCs w:val="20"/>
              </w:rPr>
              <w:br/>
              <w:t xml:space="preserve">2、锅体采用加厚SUS304不锈钢板模压成型；</w:t>
            </w:r>
            <w:r>
              <w:rPr>
                <w:rFonts w:hint="eastAsia"/>
                <w:sz w:val="20"/>
                <w:szCs w:val="20"/>
              </w:rPr>
              <w:br/>
            </w:r>
            <w:r>
              <w:rPr>
                <w:rFonts w:hint="eastAsia"/>
                <w:sz w:val="20"/>
                <w:szCs w:val="20"/>
              </w:rPr>
              <w:t xml:space="preserve">3、内置耐热保护装置，大小火力可调，噪音低，加热速度快；</w:t>
            </w:r>
            <w:r>
              <w:rPr>
                <w:rFonts w:hint="eastAsia"/>
                <w:sz w:val="20"/>
                <w:szCs w:val="20"/>
              </w:rPr>
              <w:br/>
              <w:t xml:space="preserve">4、锅体旋转可倾、出料、清洗方便；</w:t>
            </w:r>
            <w:r>
              <w:rPr>
                <w:rFonts w:hint="eastAsia"/>
                <w:sz w:val="20"/>
                <w:szCs w:val="20"/>
              </w:rPr>
              <w:br/>
              <w:t xml:space="preserve">5、容积： ≥200L；</w:t>
            </w:r>
            <w:r>
              <w:rPr>
                <w:rFonts w:hint="eastAsia"/>
                <w:sz w:val="20"/>
                <w:szCs w:val="20"/>
              </w:rPr>
              <w:br/>
              <w:t xml:space="preserve">6、锅体厚 ≥4.0mm，其它板厚 ≥1.2mm，炉头:节能炉头，带熄火保护装置。</w:t>
            </w:r>
            <w:r/>
          </w:p>
        </w:tc>
        <w:tc>
          <w:tcPr>
            <w:tcBorders>
              <w:top w:val="none" w:color="000000" w:sz="4" w:space="0"/>
              <w:left w:val="none" w:color="000000" w:sz="4" w:space="0"/>
              <w:bottom w:val="single" w:color="000000" w:sz="4" w:space="0"/>
              <w:right w:val="single" w:color="000000"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31" w:type="dxa"/>
            <w:vAlign w:val="center"/>
            <w:textDirection w:val="lrTb"/>
            <w:noWrap/>
          </w:tcPr>
          <w:p>
            <w:pPr>
              <w:jc w:val="center"/>
              <w:rPr>
                <w:rFonts w:hint="eastAsia"/>
                <w:sz w:val="20"/>
                <w:szCs w:val="20"/>
              </w:rPr>
            </w:pPr>
            <w:r>
              <w:rPr>
                <w:rFonts w:hint="eastAsia"/>
                <w:sz w:val="20"/>
                <w:szCs w:val="20"/>
              </w:rPr>
              <w:t xml:space="preserve">3</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109</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val="false"/>
          </w:tcPr>
          <w:p>
            <w:pPr>
              <w:rPr>
                <w:rFonts w:hint="eastAsia"/>
                <w:sz w:val="20"/>
                <w:szCs w:val="20"/>
              </w:rPr>
            </w:pPr>
            <w:r>
              <w:rPr>
                <w:rFonts w:hint="eastAsia"/>
                <w:sz w:val="20"/>
                <w:szCs w:val="20"/>
              </w:rPr>
              <w:t xml:space="preserve">燃气双缸双筛炸炉</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val="false"/>
          </w:tcPr>
          <w:p>
            <w:pPr>
              <w:rPr>
                <w:rFonts w:hint="eastAsia"/>
                <w:sz w:val="20"/>
                <w:szCs w:val="20"/>
              </w:rPr>
            </w:pPr>
            <w:r>
              <w:rPr>
                <w:rFonts w:hint="eastAsia"/>
                <w:sz w:val="20"/>
                <w:szCs w:val="20"/>
              </w:rPr>
              <w:t xml:space="preserve">800×900×(850+90) </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1、双缸双筛；</w:t>
            </w:r>
            <w:r>
              <w:rPr>
                <w:rFonts w:hint="eastAsia"/>
                <w:sz w:val="20"/>
                <w:szCs w:val="20"/>
              </w:rPr>
              <w:br/>
              <w:t xml:space="preserve">2、容积：≥20L+20L；</w:t>
            </w:r>
            <w:r>
              <w:rPr>
                <w:rFonts w:hint="eastAsia"/>
                <w:sz w:val="20"/>
                <w:szCs w:val="20"/>
              </w:rPr>
              <w:br/>
              <w:t xml:space="preserve">3、采用SUS304不锈钢材质打造机身，强度高，韧性好；</w:t>
            </w:r>
            <w:r>
              <w:rPr>
                <w:rFonts w:hint="eastAsia"/>
                <w:sz w:val="20"/>
                <w:szCs w:val="20"/>
              </w:rPr>
              <w:br/>
              <w:t xml:space="preserve">4、SUS304不锈钢多环大热管，高效能发热管，升温快速；</w:t>
            </w:r>
            <w:r>
              <w:rPr>
                <w:rFonts w:hint="eastAsia"/>
                <w:sz w:val="20"/>
                <w:szCs w:val="20"/>
              </w:rPr>
              <w:br/>
              <w:t xml:space="preserve">5、不锈钢加粗镀镍炸篮，在长时间的加热油中工作，不变形损坏及生锈；</w:t>
            </w:r>
            <w:r>
              <w:rPr>
                <w:rFonts w:hint="eastAsia"/>
                <w:sz w:val="20"/>
                <w:szCs w:val="20"/>
              </w:rPr>
              <w:br/>
              <w:t xml:space="preserve">6、智能温控器，简单操作，限温操作安全，便捷。</w:t>
            </w:r>
            <w:r/>
          </w:p>
        </w:tc>
        <w:tc>
          <w:tcPr>
            <w:tcBorders>
              <w:top w:val="none" w:color="000000" w:sz="4" w:space="0"/>
              <w:left w:val="none" w:color="000000" w:sz="4" w:space="0"/>
              <w:bottom w:val="single" w:color="auto" w:sz="4" w:space="0"/>
              <w:right w:val="single" w:color="auto"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31" w:type="dxa"/>
            <w:vAlign w:val="center"/>
            <w:textDirection w:val="lrTb"/>
            <w:noWrap/>
          </w:tcPr>
          <w:p>
            <w:pPr>
              <w:jc w:val="center"/>
              <w:rPr>
                <w:rFonts w:hint="eastAsia"/>
                <w:sz w:val="20"/>
                <w:szCs w:val="20"/>
              </w:rPr>
            </w:pPr>
            <w:r>
              <w:rPr>
                <w:rFonts w:hint="eastAsia"/>
                <w:sz w:val="20"/>
                <w:szCs w:val="20"/>
              </w:rPr>
              <w:t xml:space="preserve">2</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110</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燃气煮面桶</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670*670*900</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1、容积：≥170L；</w:t>
            </w:r>
            <w:r>
              <w:rPr>
                <w:rFonts w:hint="eastAsia"/>
                <w:sz w:val="20"/>
                <w:szCs w:val="20"/>
              </w:rPr>
              <w:br/>
              <w:t xml:space="preserve">2、机身采用不锈钢，不易生锈、耐腐蚀、易清洗；</w:t>
            </w:r>
            <w:r>
              <w:rPr>
                <w:rFonts w:hint="eastAsia"/>
                <w:sz w:val="20"/>
                <w:szCs w:val="20"/>
              </w:rPr>
              <w:br/>
              <w:t xml:space="preserve">3、不锈钢排水口，紧密排水不外漏；</w:t>
            </w:r>
            <w:r>
              <w:rPr>
                <w:rFonts w:hint="eastAsia"/>
                <w:sz w:val="20"/>
                <w:szCs w:val="20"/>
              </w:rPr>
              <w:br/>
              <w:t xml:space="preserve">4、有效快速排出蒸汽煮面快 节能省时；</w:t>
            </w:r>
            <w:r>
              <w:rPr>
                <w:rFonts w:hint="eastAsia"/>
                <w:sz w:val="20"/>
                <w:szCs w:val="20"/>
              </w:rPr>
              <w:br/>
              <w:t xml:space="preserve">5、加固调节脚，更加稳固机身，调节高度，适应不平地面。</w:t>
            </w:r>
            <w:r/>
          </w:p>
        </w:tc>
        <w:tc>
          <w:tcPr>
            <w:tcBorders>
              <w:top w:val="none" w:color="000000" w:sz="4" w:space="0"/>
              <w:left w:val="none" w:color="000000" w:sz="4" w:space="0"/>
              <w:bottom w:val="single" w:color="auto" w:sz="4" w:space="0"/>
              <w:right w:val="single" w:color="auto"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31" w:type="dxa"/>
            <w:vAlign w:val="center"/>
            <w:textDirection w:val="lrTb"/>
            <w:noWrap/>
          </w:tcPr>
          <w:p>
            <w:pPr>
              <w:jc w:val="center"/>
              <w:rPr>
                <w:rFonts w:hint="eastAsia"/>
                <w:sz w:val="20"/>
                <w:szCs w:val="20"/>
              </w:rPr>
            </w:pPr>
            <w:r>
              <w:rPr>
                <w:rFonts w:hint="eastAsia"/>
                <w:sz w:val="20"/>
                <w:szCs w:val="20"/>
              </w:rPr>
              <w:t xml:space="preserve">8</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111</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立式电炸炉</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1000*500*800</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1、采用SUS304不锈钢板；厚度≥1.2mm；</w:t>
            </w:r>
            <w:r>
              <w:rPr>
                <w:rFonts w:hint="eastAsia"/>
                <w:sz w:val="20"/>
                <w:szCs w:val="20"/>
              </w:rPr>
              <w:br/>
              <w:t xml:space="preserve">2、控制开关：万向旋钮式磁控或推拉式开关；</w:t>
            </w:r>
            <w:r>
              <w:rPr>
                <w:rFonts w:hint="eastAsia"/>
                <w:sz w:val="20"/>
                <w:szCs w:val="20"/>
              </w:rPr>
              <w:br/>
              <w:t xml:space="preserve">3、精准温控，超温安全保护装置，内胆一次成型；</w:t>
            </w:r>
            <w:r>
              <w:rPr>
                <w:rFonts w:hint="eastAsia"/>
                <w:sz w:val="20"/>
                <w:szCs w:val="20"/>
              </w:rPr>
              <w:br/>
              <w:t xml:space="preserve">4、功率：≥12KW，电压380V。</w:t>
            </w:r>
            <w:r/>
          </w:p>
        </w:tc>
        <w:tc>
          <w:tcPr>
            <w:tcBorders>
              <w:top w:val="none" w:color="000000" w:sz="4" w:space="0"/>
              <w:left w:val="none" w:color="000000" w:sz="4" w:space="0"/>
              <w:bottom w:val="single" w:color="auto" w:sz="4" w:space="0"/>
              <w:right w:val="single" w:color="auto"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000000" w:sz="4" w:space="0"/>
              <w:right w:val="single" w:color="000000" w:sz="4" w:space="0"/>
            </w:tcBorders>
            <w:tcW w:w="631" w:type="dxa"/>
            <w:vAlign w:val="center"/>
            <w:textDirection w:val="lrTb"/>
            <w:noWrap/>
          </w:tcPr>
          <w:p>
            <w:pPr>
              <w:jc w:val="center"/>
              <w:rPr>
                <w:rFonts w:hint="eastAsia"/>
                <w:sz w:val="20"/>
                <w:szCs w:val="20"/>
              </w:rPr>
            </w:pPr>
            <w:r>
              <w:rPr>
                <w:rFonts w:hint="eastAsia"/>
                <w:sz w:val="20"/>
                <w:szCs w:val="20"/>
              </w:rPr>
              <w:t xml:space="preserve">2</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112</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六头煲仔炉</w:t>
            </w: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tcPr>
          <w:p>
            <w:pPr>
              <w:rPr>
                <w:rFonts w:hint="eastAsia"/>
                <w:sz w:val="20"/>
                <w:szCs w:val="20"/>
              </w:rPr>
            </w:pPr>
            <w:r>
              <w:rPr>
                <w:rFonts w:hint="eastAsia"/>
                <w:sz w:val="20"/>
                <w:szCs w:val="20"/>
              </w:rPr>
              <w:t xml:space="preserve">1000*760*800+150</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1、炉面：采用SUS304 ≥1.5mm不锈钢板；</w:t>
            </w:r>
            <w:r>
              <w:rPr>
                <w:rFonts w:hint="eastAsia"/>
                <w:sz w:val="20"/>
                <w:szCs w:val="20"/>
              </w:rPr>
              <w:br/>
              <w:t xml:space="preserve">2、围板：采用SUS304 ≥1.2mm不锈钢板；</w:t>
            </w:r>
            <w:r>
              <w:rPr>
                <w:rFonts w:hint="eastAsia"/>
                <w:sz w:val="20"/>
                <w:szCs w:val="20"/>
              </w:rPr>
              <w:br/>
              <w:t xml:space="preserve">3、炉架使用SUS304 ≥</w:t>
            </w:r>
            <w:r>
              <w:rPr>
                <w:rFonts w:ascii="Calibri" w:hAnsi="Calibri" w:cs="Calibri"/>
                <w:sz w:val="20"/>
                <w:szCs w:val="20"/>
              </w:rPr>
              <w:t xml:space="preserve">ф</w:t>
            </w:r>
            <w:r>
              <w:rPr>
                <w:rFonts w:hint="eastAsia"/>
                <w:sz w:val="20"/>
                <w:szCs w:val="20"/>
              </w:rPr>
              <w:t xml:space="preserve">38mm*1.5不锈钢管；</w:t>
            </w:r>
            <w:r>
              <w:rPr>
                <w:rFonts w:hint="eastAsia"/>
                <w:sz w:val="20"/>
                <w:szCs w:val="20"/>
              </w:rPr>
              <w:br/>
              <w:t xml:space="preserve">4、采用6″文华炉头*6；</w:t>
            </w:r>
            <w:r>
              <w:rPr>
                <w:rFonts w:hint="eastAsia"/>
                <w:sz w:val="20"/>
                <w:szCs w:val="20"/>
              </w:rPr>
              <w:br/>
            </w:r>
            <w:r>
              <w:rPr>
                <w:rFonts w:hint="eastAsia"/>
                <w:sz w:val="20"/>
                <w:szCs w:val="20"/>
              </w:rPr>
              <w:t xml:space="preserve">5、带熄火保护装置；</w:t>
            </w:r>
            <w:r>
              <w:rPr>
                <w:rFonts w:hint="eastAsia"/>
                <w:sz w:val="20"/>
                <w:szCs w:val="20"/>
              </w:rPr>
              <w:br/>
              <w:t xml:space="preserve">6、优质专用燃气阀门；</w:t>
            </w:r>
            <w:r>
              <w:rPr>
                <w:rFonts w:hint="eastAsia"/>
                <w:sz w:val="20"/>
                <w:szCs w:val="20"/>
              </w:rPr>
              <w:br/>
              <w:t xml:space="preserve">7、配可调子弹脚；</w:t>
            </w:r>
            <w:r/>
          </w:p>
        </w:tc>
        <w:tc>
          <w:tcPr>
            <w:tcBorders>
              <w:top w:val="none" w:color="000000" w:sz="4" w:space="0"/>
              <w:left w:val="none" w:color="000000" w:sz="4" w:space="0"/>
              <w:bottom w:val="single" w:color="000000" w:sz="4" w:space="0"/>
              <w:right w:val="single" w:color="000000"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000000" w:sz="4" w:space="0"/>
              <w:right w:val="single" w:color="000000" w:sz="4" w:space="0"/>
            </w:tcBorders>
            <w:tcW w:w="631" w:type="dxa"/>
            <w:vAlign w:val="center"/>
            <w:textDirection w:val="lrTb"/>
            <w:noWrap/>
          </w:tcPr>
          <w:p>
            <w:pPr>
              <w:jc w:val="center"/>
              <w:rPr>
                <w:rFonts w:hint="eastAsia"/>
                <w:sz w:val="20"/>
                <w:szCs w:val="20"/>
              </w:rPr>
            </w:pPr>
            <w:r>
              <w:rPr>
                <w:rFonts w:hint="eastAsia"/>
                <w:sz w:val="20"/>
                <w:szCs w:val="20"/>
              </w:rPr>
              <w:t xml:space="preserve">8</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113</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双头矮汤炉</w:t>
            </w: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tcPr>
          <w:p>
            <w:pPr>
              <w:rPr>
                <w:rFonts w:hint="eastAsia"/>
                <w:sz w:val="20"/>
                <w:szCs w:val="20"/>
              </w:rPr>
            </w:pPr>
            <w:r>
              <w:rPr>
                <w:rFonts w:hint="eastAsia"/>
                <w:sz w:val="20"/>
                <w:szCs w:val="20"/>
              </w:rPr>
              <w:t xml:space="preserve">1100*750*500+300</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1、炉面：采用SUS304 ≥1.5mm不锈钢板；</w:t>
            </w:r>
            <w:r>
              <w:rPr>
                <w:rFonts w:hint="eastAsia"/>
                <w:sz w:val="20"/>
                <w:szCs w:val="20"/>
              </w:rPr>
              <w:br/>
              <w:t xml:space="preserve">2、围板：采用SUS304 ≥1.2mm不锈钢板；</w:t>
            </w:r>
            <w:r>
              <w:rPr>
                <w:rFonts w:hint="eastAsia"/>
                <w:sz w:val="20"/>
                <w:szCs w:val="20"/>
              </w:rPr>
              <w:br/>
              <w:t xml:space="preserve">3、炉架：采用SUS304 </w:t>
            </w:r>
            <w:r>
              <w:rPr>
                <w:rFonts w:ascii="Calibri" w:hAnsi="Calibri" w:cs="Calibri"/>
                <w:sz w:val="20"/>
                <w:szCs w:val="20"/>
              </w:rPr>
              <w:t xml:space="preserve">ф</w:t>
            </w:r>
            <w:r>
              <w:rPr>
                <w:rFonts w:hint="eastAsia"/>
                <w:sz w:val="20"/>
                <w:szCs w:val="20"/>
              </w:rPr>
              <w:t xml:space="preserve">38mm，厚度≥1.5mm不锈钢管；</w:t>
            </w:r>
            <w:r>
              <w:rPr>
                <w:rFonts w:hint="eastAsia"/>
                <w:sz w:val="20"/>
                <w:szCs w:val="20"/>
              </w:rPr>
              <w:br/>
              <w:t xml:space="preserve">4、电子点火节能炉头，带熄火保护装置，配可调子弹脚。</w:t>
            </w:r>
            <w:r/>
          </w:p>
        </w:tc>
        <w:tc>
          <w:tcPr>
            <w:tcBorders>
              <w:top w:val="none" w:color="000000" w:sz="4" w:space="0"/>
              <w:left w:val="none" w:color="000000" w:sz="4" w:space="0"/>
              <w:bottom w:val="single" w:color="000000" w:sz="4" w:space="0"/>
              <w:right w:val="single" w:color="000000"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000000" w:sz="4" w:space="0"/>
              <w:right w:val="single" w:color="000000" w:sz="4" w:space="0"/>
            </w:tcBorders>
            <w:tcW w:w="631" w:type="dxa"/>
            <w:vAlign w:val="center"/>
            <w:textDirection w:val="lrTb"/>
            <w:noWrap/>
          </w:tcPr>
          <w:p>
            <w:pPr>
              <w:jc w:val="center"/>
              <w:rPr>
                <w:rFonts w:hint="eastAsia"/>
                <w:sz w:val="20"/>
                <w:szCs w:val="20"/>
              </w:rPr>
            </w:pPr>
            <w:r>
              <w:rPr>
                <w:rFonts w:hint="eastAsia"/>
                <w:sz w:val="20"/>
                <w:szCs w:val="20"/>
              </w:rPr>
              <w:t xml:space="preserve">6</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114</w:t>
            </w:r>
            <w:r/>
          </w:p>
        </w:tc>
        <w:tc>
          <w:tcPr>
            <w:tcBorders>
              <w:top w:val="none" w:color="000000" w:sz="4" w:space="0"/>
              <w:left w:val="none" w:color="000000" w:sz="4" w:space="0"/>
              <w:bottom w:val="single" w:color="000000" w:sz="4" w:space="0"/>
              <w:right w:val="single" w:color="000000" w:sz="4" w:space="0"/>
            </w:tcBorders>
            <w:tcW w:w="1637" w:type="dxa"/>
            <w:vAlign w:val="center"/>
            <w:textDirection w:val="lrTb"/>
            <w:noWrap/>
          </w:tcPr>
          <w:p>
            <w:pPr>
              <w:rPr>
                <w:rFonts w:hint="eastAsia"/>
                <w:sz w:val="20"/>
                <w:szCs w:val="20"/>
              </w:rPr>
            </w:pPr>
            <w:r>
              <w:rPr>
                <w:rFonts w:hint="eastAsia"/>
                <w:sz w:val="20"/>
                <w:szCs w:val="20"/>
              </w:rPr>
              <w:t xml:space="preserve">八头煲仔炉1</w:t>
            </w: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tcPr>
          <w:p>
            <w:pPr>
              <w:rPr>
                <w:rFonts w:hint="eastAsia"/>
                <w:sz w:val="20"/>
                <w:szCs w:val="20"/>
              </w:rPr>
            </w:pPr>
            <w:r>
              <w:rPr>
                <w:rFonts w:hint="eastAsia"/>
                <w:sz w:val="20"/>
                <w:szCs w:val="20"/>
              </w:rPr>
              <w:t xml:space="preserve">1300*760*800+150</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1、炉面：采用SUS304 ≥1.5mm不锈钢板；                                  </w:t>
            </w:r>
            <w:r>
              <w:rPr>
                <w:rFonts w:hint="eastAsia"/>
                <w:sz w:val="20"/>
                <w:szCs w:val="20"/>
              </w:rPr>
              <w:br/>
              <w:t xml:space="preserve">2、围板：采用SUS304 ≥1.2mm不锈钢板；</w:t>
            </w:r>
            <w:r>
              <w:rPr>
                <w:rFonts w:hint="eastAsia"/>
                <w:sz w:val="20"/>
                <w:szCs w:val="20"/>
              </w:rPr>
              <w:br/>
              <w:t xml:space="preserve">3、炉架：采用SUS304 </w:t>
            </w:r>
            <w:r>
              <w:rPr>
                <w:rFonts w:ascii="Calibri" w:hAnsi="Calibri" w:cs="Calibri"/>
                <w:sz w:val="20"/>
                <w:szCs w:val="20"/>
              </w:rPr>
              <w:t xml:space="preserve">ф</w:t>
            </w:r>
            <w:r>
              <w:rPr>
                <w:rFonts w:hint="eastAsia"/>
                <w:sz w:val="20"/>
                <w:szCs w:val="20"/>
              </w:rPr>
              <w:t xml:space="preserve">38mm，厚度≥1.5mm不锈钢管；</w:t>
            </w:r>
            <w:r>
              <w:rPr>
                <w:rFonts w:hint="eastAsia"/>
                <w:sz w:val="20"/>
                <w:szCs w:val="20"/>
              </w:rPr>
              <w:br/>
              <w:t xml:space="preserve">4、采用6”文华炉头*8；</w:t>
            </w:r>
            <w:r>
              <w:rPr>
                <w:rFonts w:hint="eastAsia"/>
                <w:sz w:val="20"/>
                <w:szCs w:val="20"/>
              </w:rPr>
              <w:br/>
              <w:t xml:space="preserve">5、带熄火保护装置；</w:t>
            </w:r>
            <w:r>
              <w:rPr>
                <w:rFonts w:hint="eastAsia"/>
                <w:sz w:val="20"/>
                <w:szCs w:val="20"/>
              </w:rPr>
              <w:br/>
              <w:t xml:space="preserve">6、优质专用燃气阀门；</w:t>
            </w:r>
            <w:r>
              <w:rPr>
                <w:rFonts w:hint="eastAsia"/>
                <w:sz w:val="20"/>
                <w:szCs w:val="20"/>
              </w:rPr>
              <w:br/>
              <w:t xml:space="preserve">7、配可调子弹脚；</w:t>
            </w:r>
            <w:r/>
          </w:p>
        </w:tc>
        <w:tc>
          <w:tcPr>
            <w:tcBorders>
              <w:top w:val="none" w:color="000000" w:sz="4" w:space="0"/>
              <w:left w:val="none" w:color="000000" w:sz="4" w:space="0"/>
              <w:bottom w:val="single" w:color="000000" w:sz="4" w:space="0"/>
              <w:right w:val="single" w:color="000000"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31" w:type="dxa"/>
            <w:vAlign w:val="center"/>
            <w:textDirection w:val="lrTb"/>
            <w:noWrap/>
          </w:tcPr>
          <w:p>
            <w:pPr>
              <w:jc w:val="center"/>
              <w:rPr>
                <w:rFonts w:hint="eastAsia"/>
                <w:sz w:val="20"/>
                <w:szCs w:val="20"/>
              </w:rPr>
            </w:pPr>
            <w:r>
              <w:rPr>
                <w:rFonts w:hint="eastAsia"/>
                <w:sz w:val="20"/>
                <w:szCs w:val="20"/>
              </w:rPr>
              <w:t xml:space="preserve">5</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none" w:color="000000" w:sz="4" w:space="0"/>
              <w:right w:val="none" w:color="000000"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r>
            <w:r/>
          </w:p>
        </w:tc>
        <w:tc>
          <w:tcPr>
            <w:tcBorders>
              <w:top w:val="none" w:color="000000" w:sz="4" w:space="0"/>
              <w:left w:val="none" w:color="000000" w:sz="4" w:space="0"/>
              <w:bottom w:val="none" w:color="000000" w:sz="4" w:space="0"/>
              <w:right w:val="none" w:color="000000" w:sz="4" w:space="0"/>
            </w:tcBorders>
            <w:tcW w:w="1047" w:type="dxa"/>
            <w:vAlign w:val="center"/>
            <w:textDirection w:val="lrTb"/>
            <w:noWrap/>
          </w:tcPr>
          <w:p>
            <w:pPr>
              <w:rPr>
                <w:rFonts w:ascii="Times New Roman" w:hAnsi="Times New Roman" w:eastAsia="Times New Roman" w:cs="Times New Roman"/>
                <w:sz w:val="20"/>
                <w:szCs w:val="20"/>
              </w:rPr>
            </w:pPr>
            <w:r>
              <w:rPr>
                <w:rFonts w:ascii="Times New Roman" w:hAnsi="Times New Roman" w:eastAsia="Times New Roman" w:cs="Times New Roman"/>
                <w:sz w:val="20"/>
                <w:szCs w:val="20"/>
              </w:rPr>
            </w:r>
            <w:r/>
          </w:p>
        </w:tc>
        <w:tc>
          <w:tcPr>
            <w:tcBorders>
              <w:top w:val="none" w:color="000000" w:sz="4" w:space="0"/>
              <w:left w:val="none" w:color="000000" w:sz="4" w:space="0"/>
              <w:bottom w:val="none" w:color="000000" w:sz="4" w:space="0"/>
              <w:right w:val="none" w:color="000000" w:sz="4" w:space="0"/>
            </w:tcBorders>
            <w:tcW w:w="708" w:type="dxa"/>
            <w:vAlign w:val="center"/>
            <w:textDirection w:val="lrTb"/>
            <w:noWrap/>
          </w:tcPr>
          <w:p>
            <w:pPr>
              <w:rPr>
                <w:rFonts w:ascii="Times New Roman" w:hAnsi="Times New Roman" w:eastAsia="Times New Roman" w:cs="Times New Roman"/>
                <w:sz w:val="20"/>
                <w:szCs w:val="20"/>
              </w:rPr>
            </w:pPr>
            <w:r>
              <w:rPr>
                <w:rFonts w:ascii="Times New Roman" w:hAnsi="Times New Roman" w:eastAsia="Times New Roman" w:cs="Times New Roman"/>
                <w:sz w:val="20"/>
                <w:szCs w:val="20"/>
              </w:rPr>
            </w:r>
            <w:r/>
          </w:p>
        </w:tc>
        <w:tc>
          <w:tcPr>
            <w:tcBorders>
              <w:top w:val="none" w:color="000000" w:sz="4" w:space="0"/>
              <w:left w:val="none" w:color="000000" w:sz="4" w:space="0"/>
              <w:bottom w:val="none" w:color="000000" w:sz="4" w:space="0"/>
              <w:right w:val="none" w:color="000000" w:sz="4" w:space="0"/>
            </w:tcBorders>
            <w:tcW w:w="709" w:type="dxa"/>
            <w:vAlign w:val="center"/>
            <w:textDirection w:val="lrTb"/>
            <w:noWrap/>
          </w:tcPr>
          <w:p>
            <w:pPr>
              <w:rPr>
                <w:rFonts w:ascii="Times New Roman" w:hAnsi="Times New Roman" w:eastAsia="Times New Roman" w:cs="Times New Roman"/>
                <w:sz w:val="20"/>
                <w:szCs w:val="20"/>
              </w:rPr>
            </w:pPr>
            <w:r>
              <w:rPr>
                <w:rFonts w:ascii="Times New Roman" w:hAnsi="Times New Roman" w:eastAsia="Times New Roman" w:cs="Times New Roman"/>
                <w:sz w:val="20"/>
                <w:szCs w:val="20"/>
              </w:rPr>
            </w:r>
            <w:r/>
          </w:p>
        </w:tc>
        <w:tc>
          <w:tcPr>
            <w:tcBorders>
              <w:top w:val="none" w:color="000000" w:sz="4" w:space="0"/>
              <w:left w:val="single" w:color="auto"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115</w:t>
            </w:r>
            <w:r/>
          </w:p>
        </w:tc>
        <w:tc>
          <w:tcPr>
            <w:tcBorders>
              <w:top w:val="none" w:color="000000" w:sz="4" w:space="0"/>
              <w:left w:val="none" w:color="000000" w:sz="4" w:space="0"/>
              <w:bottom w:val="single" w:color="000000" w:sz="4" w:space="0"/>
              <w:right w:val="single" w:color="000000" w:sz="4" w:space="0"/>
            </w:tcBorders>
            <w:tcW w:w="1637" w:type="dxa"/>
            <w:vAlign w:val="center"/>
            <w:textDirection w:val="lrTb"/>
            <w:noWrap/>
          </w:tcPr>
          <w:p>
            <w:pPr>
              <w:rPr>
                <w:rFonts w:hint="eastAsia"/>
                <w:sz w:val="20"/>
                <w:szCs w:val="20"/>
              </w:rPr>
            </w:pPr>
            <w:r>
              <w:rPr>
                <w:rFonts w:hint="eastAsia"/>
                <w:sz w:val="20"/>
                <w:szCs w:val="20"/>
              </w:rPr>
              <w:t xml:space="preserve">八头煲仔炉2</w:t>
            </w: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tcPr>
          <w:p>
            <w:pPr>
              <w:rPr>
                <w:rFonts w:hint="eastAsia"/>
                <w:sz w:val="20"/>
                <w:szCs w:val="20"/>
              </w:rPr>
            </w:pPr>
            <w:r>
              <w:rPr>
                <w:rFonts w:hint="eastAsia"/>
                <w:sz w:val="20"/>
                <w:szCs w:val="20"/>
              </w:rPr>
              <w:t xml:space="preserve">1500*900*800+150</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1、炉面：采用SUS304 ≥1.5mm不锈钢板；                                  </w:t>
            </w:r>
            <w:r>
              <w:rPr>
                <w:rFonts w:hint="eastAsia"/>
                <w:sz w:val="20"/>
                <w:szCs w:val="20"/>
              </w:rPr>
              <w:br/>
              <w:t xml:space="preserve">2、围板：采用SUS304 ≥1.2mm不锈钢板；</w:t>
            </w:r>
            <w:r>
              <w:rPr>
                <w:rFonts w:hint="eastAsia"/>
                <w:sz w:val="20"/>
                <w:szCs w:val="20"/>
              </w:rPr>
              <w:br/>
              <w:t xml:space="preserve">3、炉架：采用SUS304 </w:t>
            </w:r>
            <w:r>
              <w:rPr>
                <w:rFonts w:ascii="Calibri" w:hAnsi="Calibri" w:cs="Calibri"/>
                <w:sz w:val="20"/>
                <w:szCs w:val="20"/>
              </w:rPr>
              <w:t xml:space="preserve">ф</w:t>
            </w:r>
            <w:r>
              <w:rPr>
                <w:rFonts w:hint="eastAsia"/>
                <w:sz w:val="20"/>
                <w:szCs w:val="20"/>
              </w:rPr>
              <w:t xml:space="preserve">38mm，厚度≥1.5mm不锈钢管；</w:t>
            </w:r>
            <w:r>
              <w:rPr>
                <w:rFonts w:hint="eastAsia"/>
                <w:sz w:val="20"/>
                <w:szCs w:val="20"/>
              </w:rPr>
              <w:br/>
              <w:t xml:space="preserve">4、采用6”文华炉头*8；</w:t>
            </w:r>
            <w:r>
              <w:rPr>
                <w:rFonts w:hint="eastAsia"/>
                <w:sz w:val="20"/>
                <w:szCs w:val="20"/>
              </w:rPr>
              <w:br/>
              <w:t xml:space="preserve">5、带熄火保护装置；</w:t>
            </w:r>
            <w:r>
              <w:rPr>
                <w:rFonts w:hint="eastAsia"/>
                <w:sz w:val="20"/>
                <w:szCs w:val="20"/>
              </w:rPr>
              <w:br/>
              <w:t xml:space="preserve">6、优质专用燃气阀门；</w:t>
            </w:r>
            <w:r>
              <w:rPr>
                <w:rFonts w:hint="eastAsia"/>
                <w:sz w:val="20"/>
                <w:szCs w:val="20"/>
              </w:rPr>
              <w:br/>
              <w:t xml:space="preserve">7、配可调子弹脚；</w:t>
            </w:r>
            <w:r/>
          </w:p>
        </w:tc>
        <w:tc>
          <w:tcPr>
            <w:tcBorders>
              <w:top w:val="none" w:color="000000" w:sz="4" w:space="0"/>
              <w:left w:val="none" w:color="000000" w:sz="4" w:space="0"/>
              <w:bottom w:val="single" w:color="000000" w:sz="4" w:space="0"/>
              <w:right w:val="single" w:color="000000"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000000" w:sz="4" w:space="0"/>
              <w:right w:val="single" w:color="000000" w:sz="4" w:space="0"/>
            </w:tcBorders>
            <w:tcW w:w="631" w:type="dxa"/>
            <w:vAlign w:val="center"/>
            <w:textDirection w:val="lrTb"/>
            <w:noWrap/>
          </w:tcPr>
          <w:p>
            <w:pPr>
              <w:jc w:val="center"/>
              <w:rPr>
                <w:rFonts w:hint="eastAsia"/>
                <w:sz w:val="20"/>
                <w:szCs w:val="20"/>
              </w:rPr>
            </w:pPr>
            <w:r>
              <w:rPr>
                <w:rFonts w:hint="eastAsia"/>
                <w:sz w:val="20"/>
                <w:szCs w:val="20"/>
              </w:rPr>
              <w:t xml:space="preserve">1</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single" w:color="auto"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single" w:color="auto"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116</w:t>
            </w:r>
            <w:r/>
          </w:p>
        </w:tc>
        <w:tc>
          <w:tcPr>
            <w:tcBorders>
              <w:top w:val="none" w:color="000000" w:sz="4" w:space="0"/>
              <w:left w:val="none" w:color="000000" w:sz="4" w:space="0"/>
              <w:bottom w:val="single" w:color="000000" w:sz="4" w:space="0"/>
              <w:right w:val="single" w:color="000000" w:sz="4" w:space="0"/>
            </w:tcBorders>
            <w:tcW w:w="1637" w:type="dxa"/>
            <w:vAlign w:val="center"/>
            <w:textDirection w:val="lrTb"/>
            <w:noWrap/>
          </w:tcPr>
          <w:p>
            <w:pPr>
              <w:rPr>
                <w:rFonts w:hint="eastAsia"/>
                <w:sz w:val="20"/>
                <w:szCs w:val="20"/>
              </w:rPr>
            </w:pPr>
            <w:r>
              <w:rPr>
                <w:rFonts w:hint="eastAsia"/>
                <w:sz w:val="20"/>
                <w:szCs w:val="20"/>
              </w:rPr>
              <w:t xml:space="preserve">四头煲仔炉</w:t>
            </w: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tcPr>
          <w:p>
            <w:pPr>
              <w:rPr>
                <w:rFonts w:hint="eastAsia"/>
                <w:sz w:val="20"/>
                <w:szCs w:val="20"/>
              </w:rPr>
            </w:pPr>
            <w:r>
              <w:rPr>
                <w:rFonts w:hint="eastAsia"/>
                <w:sz w:val="20"/>
                <w:szCs w:val="20"/>
              </w:rPr>
              <w:t xml:space="preserve">700*900*850+90</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1、炉面：采用SUS304 ≥1.5mm不锈钢板；                                  </w:t>
            </w:r>
            <w:r>
              <w:rPr>
                <w:rFonts w:hint="eastAsia"/>
                <w:sz w:val="20"/>
                <w:szCs w:val="20"/>
              </w:rPr>
              <w:br/>
              <w:t xml:space="preserve">2、围板：采用SUS304 ≥1.2mm不锈钢板；</w:t>
            </w:r>
            <w:r>
              <w:rPr>
                <w:rFonts w:hint="eastAsia"/>
                <w:sz w:val="20"/>
                <w:szCs w:val="20"/>
              </w:rPr>
              <w:br/>
              <w:t xml:space="preserve">3、炉架：采用SUS304 </w:t>
            </w:r>
            <w:r>
              <w:rPr>
                <w:rFonts w:ascii="Calibri" w:hAnsi="Calibri" w:cs="Calibri"/>
                <w:sz w:val="20"/>
                <w:szCs w:val="20"/>
              </w:rPr>
              <w:t xml:space="preserve">ф</w:t>
            </w:r>
            <w:r>
              <w:rPr>
                <w:rFonts w:hint="eastAsia"/>
                <w:sz w:val="20"/>
                <w:szCs w:val="20"/>
              </w:rPr>
              <w:t xml:space="preserve">38mm，厚度≥</w:t>
            </w:r>
            <w:r>
              <w:rPr>
                <w:rFonts w:hint="eastAsia"/>
                <w:sz w:val="20"/>
                <w:szCs w:val="20"/>
              </w:rPr>
              <w:t xml:space="preserve">1.5mm不锈钢管；</w:t>
            </w:r>
            <w:r>
              <w:rPr>
                <w:rFonts w:hint="eastAsia"/>
                <w:sz w:val="20"/>
                <w:szCs w:val="20"/>
              </w:rPr>
              <w:br/>
              <w:t xml:space="preserve">4、采用6”文华炉头*4；</w:t>
            </w:r>
            <w:r>
              <w:rPr>
                <w:rFonts w:hint="eastAsia"/>
                <w:sz w:val="20"/>
                <w:szCs w:val="20"/>
              </w:rPr>
              <w:br/>
              <w:t xml:space="preserve">5、带熄火保护装置；</w:t>
            </w:r>
            <w:r>
              <w:rPr>
                <w:rFonts w:hint="eastAsia"/>
                <w:sz w:val="20"/>
                <w:szCs w:val="20"/>
              </w:rPr>
              <w:br/>
              <w:t xml:space="preserve">6、优质专用燃气阀门；</w:t>
            </w:r>
            <w:r>
              <w:rPr>
                <w:rFonts w:hint="eastAsia"/>
                <w:sz w:val="20"/>
                <w:szCs w:val="20"/>
              </w:rPr>
              <w:br/>
              <w:t xml:space="preserve">7、配可调子弹脚；</w:t>
            </w:r>
            <w:r/>
          </w:p>
        </w:tc>
        <w:tc>
          <w:tcPr>
            <w:tcBorders>
              <w:top w:val="none" w:color="000000" w:sz="4" w:space="0"/>
              <w:left w:val="none" w:color="000000" w:sz="4" w:space="0"/>
              <w:bottom w:val="single" w:color="000000" w:sz="4" w:space="0"/>
              <w:right w:val="single" w:color="000000"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000000" w:sz="4" w:space="0"/>
              <w:right w:val="single" w:color="000000" w:sz="4" w:space="0"/>
            </w:tcBorders>
            <w:tcW w:w="631" w:type="dxa"/>
            <w:vAlign w:val="center"/>
            <w:textDirection w:val="lrTb"/>
            <w:noWrap/>
          </w:tcPr>
          <w:p>
            <w:pPr>
              <w:jc w:val="center"/>
              <w:rPr>
                <w:rFonts w:hint="eastAsia"/>
                <w:sz w:val="20"/>
                <w:szCs w:val="20"/>
              </w:rPr>
            </w:pPr>
            <w:r>
              <w:rPr>
                <w:rFonts w:hint="eastAsia"/>
                <w:sz w:val="20"/>
                <w:szCs w:val="20"/>
              </w:rPr>
              <w:t xml:space="preserve">1</w:t>
            </w:r>
            <w:r/>
          </w:p>
        </w:tc>
        <w:tc>
          <w:tcPr>
            <w:tcBorders>
              <w:top w:val="none" w:color="000000" w:sz="4" w:space="0"/>
              <w:left w:val="none" w:color="000000" w:sz="4" w:space="0"/>
              <w:bottom w:val="none" w:color="000000" w:sz="4" w:space="0"/>
              <w:right w:val="none" w:color="000000" w:sz="4" w:space="0"/>
            </w:tcBorders>
            <w:tcW w:w="1630" w:type="dxa"/>
            <w:vAlign w:val="center"/>
            <w:textDirection w:val="lrTb"/>
            <w:noWrap/>
          </w:tcPr>
          <w:p>
            <w:pPr>
              <w:jc w:val="center"/>
              <w:rPr>
                <w:rFonts w:hint="eastAsia"/>
                <w:sz w:val="20"/>
                <w:szCs w:val="20"/>
              </w:rPr>
            </w:pPr>
            <w:r>
              <w:rPr>
                <w:rFonts w:hint="eastAsia"/>
                <w:sz w:val="20"/>
                <w:szCs w:val="20"/>
              </w:rPr>
            </w:r>
            <w:r/>
          </w:p>
        </w:tc>
        <w:tc>
          <w:tcPr>
            <w:tcBorders>
              <w:top w:val="none" w:color="000000" w:sz="4" w:space="0"/>
              <w:left w:val="single" w:color="auto"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117</w:t>
            </w:r>
            <w:r/>
          </w:p>
        </w:tc>
        <w:tc>
          <w:tcPr>
            <w:tcBorders>
              <w:top w:val="none" w:color="000000" w:sz="4" w:space="0"/>
              <w:left w:val="none" w:color="000000" w:sz="4" w:space="0"/>
              <w:bottom w:val="single" w:color="000000" w:sz="4" w:space="0"/>
              <w:right w:val="single" w:color="000000" w:sz="4" w:space="0"/>
            </w:tcBorders>
            <w:tcW w:w="1637" w:type="dxa"/>
            <w:vAlign w:val="center"/>
            <w:textDirection w:val="lrTb"/>
            <w:noWrap w:val="false"/>
          </w:tcPr>
          <w:p>
            <w:pPr>
              <w:rPr>
                <w:rFonts w:hint="eastAsia"/>
                <w:sz w:val="20"/>
                <w:szCs w:val="20"/>
              </w:rPr>
            </w:pPr>
            <w:r>
              <w:rPr>
                <w:rFonts w:hint="eastAsia"/>
                <w:sz w:val="20"/>
                <w:szCs w:val="20"/>
              </w:rPr>
              <w:t xml:space="preserve">燃气平扒炉连锔炉</w:t>
            </w: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val="false"/>
          </w:tcPr>
          <w:p>
            <w:pPr>
              <w:rPr>
                <w:rFonts w:hint="eastAsia"/>
                <w:sz w:val="20"/>
                <w:szCs w:val="20"/>
              </w:rPr>
            </w:pPr>
            <w:r>
              <w:rPr>
                <w:rFonts w:hint="eastAsia"/>
                <w:sz w:val="20"/>
                <w:szCs w:val="20"/>
              </w:rPr>
              <w:t xml:space="preserve">800×900×(850+90)    </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1、升温快，效率高。</w:t>
            </w:r>
            <w:r>
              <w:rPr>
                <w:rFonts w:hint="eastAsia"/>
                <w:sz w:val="20"/>
                <w:szCs w:val="20"/>
              </w:rPr>
              <w:br/>
              <w:t xml:space="preserve">2、外形全不锈钢，简约美观，清洗方便。</w:t>
            </w:r>
            <w:r>
              <w:rPr>
                <w:rFonts w:hint="eastAsia"/>
                <w:sz w:val="20"/>
                <w:szCs w:val="20"/>
              </w:rPr>
              <w:br/>
              <w:t xml:space="preserve">3、镀铬扒板，减少热量分散。</w:t>
            </w:r>
            <w:r>
              <w:rPr>
                <w:rFonts w:hint="eastAsia"/>
                <w:sz w:val="20"/>
                <w:szCs w:val="20"/>
              </w:rPr>
              <w:br/>
              <w:t xml:space="preserve">4、可调节炉脚。</w:t>
            </w:r>
            <w:r>
              <w:rPr>
                <w:rFonts w:hint="eastAsia"/>
                <w:sz w:val="20"/>
                <w:szCs w:val="20"/>
              </w:rPr>
              <w:br/>
              <w:t xml:space="preserve">5、功率：≥17.6KW。</w:t>
            </w:r>
            <w:r/>
          </w:p>
        </w:tc>
        <w:tc>
          <w:tcPr>
            <w:tcBorders>
              <w:top w:val="none" w:color="000000" w:sz="4" w:space="0"/>
              <w:left w:val="none" w:color="000000" w:sz="4" w:space="0"/>
              <w:bottom w:val="single" w:color="000000" w:sz="4" w:space="0"/>
              <w:right w:val="single" w:color="000000"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000000" w:sz="4" w:space="0"/>
              <w:right w:val="single" w:color="000000" w:sz="4" w:space="0"/>
            </w:tcBorders>
            <w:tcW w:w="631" w:type="dxa"/>
            <w:vAlign w:val="center"/>
            <w:textDirection w:val="lrTb"/>
            <w:noWrap/>
          </w:tcPr>
          <w:p>
            <w:pPr>
              <w:jc w:val="center"/>
              <w:rPr>
                <w:rFonts w:hint="eastAsia"/>
                <w:sz w:val="20"/>
                <w:szCs w:val="20"/>
              </w:rPr>
            </w:pPr>
            <w:r>
              <w:rPr>
                <w:rFonts w:hint="eastAsia"/>
                <w:sz w:val="20"/>
                <w:szCs w:val="20"/>
              </w:rPr>
              <w:t xml:space="preserve">1</w:t>
            </w:r>
            <w:r/>
          </w:p>
        </w:tc>
        <w:tc>
          <w:tcPr>
            <w:tcBorders>
              <w:top w:val="none" w:color="000000" w:sz="4" w:space="0"/>
              <w:left w:val="none" w:color="000000" w:sz="4" w:space="0"/>
              <w:bottom w:val="none" w:color="000000" w:sz="4" w:space="0"/>
              <w:right w:val="none" w:color="000000" w:sz="4" w:space="0"/>
            </w:tcBorders>
            <w:tcW w:w="1630" w:type="dxa"/>
            <w:vAlign w:val="center"/>
            <w:textDirection w:val="lrTb"/>
            <w:noWrap/>
          </w:tcPr>
          <w:p>
            <w:pPr>
              <w:jc w:val="center"/>
              <w:rPr>
                <w:rFonts w:hint="eastAsia"/>
                <w:sz w:val="20"/>
                <w:szCs w:val="20"/>
              </w:rPr>
            </w:pPr>
            <w:r>
              <w:rPr>
                <w:rFonts w:hint="eastAsia"/>
                <w:sz w:val="20"/>
                <w:szCs w:val="20"/>
              </w:rPr>
            </w:r>
            <w:r/>
          </w:p>
        </w:tc>
        <w:tc>
          <w:tcPr>
            <w:tcBorders>
              <w:top w:val="none" w:color="000000" w:sz="4" w:space="0"/>
              <w:left w:val="single" w:color="auto"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118</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三层六盘钢烤箱</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val="false"/>
          </w:tcPr>
          <w:p>
            <w:pPr>
              <w:rPr>
                <w:rFonts w:hint="eastAsia"/>
                <w:sz w:val="20"/>
                <w:szCs w:val="20"/>
              </w:rPr>
            </w:pPr>
            <w:r>
              <w:rPr>
                <w:rFonts w:hint="eastAsia"/>
                <w:sz w:val="20"/>
                <w:szCs w:val="20"/>
              </w:rPr>
              <w:t xml:space="preserve">1224*866*1530</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1、电压：380V；</w:t>
            </w:r>
            <w:r>
              <w:rPr>
                <w:rFonts w:hint="eastAsia"/>
                <w:sz w:val="20"/>
                <w:szCs w:val="20"/>
              </w:rPr>
              <w:br/>
              <w:t xml:space="preserve">2、功率：≥19.8KW；</w:t>
            </w:r>
            <w:r>
              <w:rPr>
                <w:rFonts w:hint="eastAsia"/>
                <w:sz w:val="20"/>
                <w:szCs w:val="20"/>
              </w:rPr>
              <w:br/>
              <w:t xml:space="preserve">3、材质：外壳全采用SUS304不锈钢；</w:t>
            </w:r>
            <w:r>
              <w:rPr>
                <w:rFonts w:hint="eastAsia"/>
                <w:sz w:val="20"/>
                <w:szCs w:val="20"/>
              </w:rPr>
              <w:br/>
              <w:t xml:space="preserve">4、配6个烤盘，微电脑控制设计，温度、时间可精准控制，具备不少于12路菜单储存功能，可保存至少12个不同菜单，操作简便，故障率低；</w:t>
            </w:r>
            <w:r>
              <w:rPr>
                <w:rFonts w:hint="eastAsia"/>
                <w:sz w:val="20"/>
                <w:szCs w:val="20"/>
              </w:rPr>
              <w:br/>
              <w:t xml:space="preserve">5、采用远红外电热管加热，火力均匀。微电脑控制系统，精密度高，误差小，准确控温面火、底火单独控制，自动恒温；</w:t>
            </w:r>
            <w:r>
              <w:rPr>
                <w:rFonts w:hint="eastAsia"/>
                <w:sz w:val="20"/>
                <w:szCs w:val="20"/>
              </w:rPr>
              <w:br/>
              <w:t xml:space="preserve">6、超大玻璃门设计，内置照明灯，双层钢化安全玻璃，可观察烘烤效果；</w:t>
            </w:r>
            <w:r>
              <w:rPr>
                <w:rFonts w:hint="eastAsia"/>
                <w:sz w:val="20"/>
                <w:szCs w:val="20"/>
              </w:rPr>
              <w:br/>
              <w:t xml:space="preserve">7、具备超高温安全保护装置，使用更加安全；</w:t>
            </w:r>
            <w:r>
              <w:rPr>
                <w:rFonts w:hint="eastAsia"/>
                <w:sz w:val="20"/>
                <w:szCs w:val="20"/>
              </w:rPr>
              <w:br/>
              <w:t xml:space="preserve">8、万向脚轮,方便移动。</w:t>
            </w:r>
            <w:r/>
          </w:p>
        </w:tc>
        <w:tc>
          <w:tcPr>
            <w:tcBorders>
              <w:top w:val="none" w:color="000000" w:sz="4" w:space="0"/>
              <w:left w:val="none" w:color="000000" w:sz="4" w:space="0"/>
              <w:bottom w:val="single" w:color="auto" w:sz="4" w:space="0"/>
              <w:right w:val="single" w:color="auto"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31" w:type="dxa"/>
            <w:vAlign w:val="center"/>
            <w:textDirection w:val="lrTb"/>
            <w:noWrap/>
          </w:tcPr>
          <w:p>
            <w:pPr>
              <w:jc w:val="center"/>
              <w:rPr>
                <w:rFonts w:hint="eastAsia"/>
                <w:sz w:val="20"/>
                <w:szCs w:val="20"/>
              </w:rPr>
            </w:pPr>
            <w:r>
              <w:rPr>
                <w:rFonts w:hint="eastAsia"/>
                <w:sz w:val="20"/>
                <w:szCs w:val="20"/>
              </w:rPr>
              <w:t xml:space="preserve">2</w:t>
            </w:r>
            <w:r/>
          </w:p>
        </w:tc>
        <w:tc>
          <w:tcPr>
            <w:tcBorders>
              <w:top w:val="single" w:color="auto"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119</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烤箱座台架</w:t>
            </w: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tcPr>
          <w:p>
            <w:pPr>
              <w:rPr>
                <w:rFonts w:hint="eastAsia"/>
                <w:sz w:val="20"/>
                <w:szCs w:val="20"/>
              </w:rPr>
            </w:pPr>
            <w:r>
              <w:rPr>
                <w:rFonts w:hint="eastAsia"/>
                <w:sz w:val="20"/>
                <w:szCs w:val="20"/>
              </w:rPr>
              <w:t xml:space="preserve">1400*900*800</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采用SUS304不锈钢，厚≥1.2mm。</w:t>
            </w:r>
            <w:r/>
          </w:p>
        </w:tc>
        <w:tc>
          <w:tcPr>
            <w:tcBorders>
              <w:top w:val="none" w:color="000000" w:sz="4" w:space="0"/>
              <w:left w:val="none" w:color="000000" w:sz="4" w:space="0"/>
              <w:bottom w:val="single" w:color="auto" w:sz="4" w:space="0"/>
              <w:right w:val="single" w:color="auto"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31" w:type="dxa"/>
            <w:vAlign w:val="center"/>
            <w:textDirection w:val="lrTb"/>
            <w:noWrap/>
          </w:tcPr>
          <w:p>
            <w:pPr>
              <w:jc w:val="center"/>
              <w:rPr>
                <w:rFonts w:hint="eastAsia"/>
                <w:sz w:val="20"/>
                <w:szCs w:val="20"/>
              </w:rPr>
            </w:pPr>
            <w:r>
              <w:rPr>
                <w:rFonts w:hint="eastAsia"/>
                <w:sz w:val="20"/>
                <w:szCs w:val="20"/>
              </w:rPr>
              <w:t xml:space="preserve">1</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120</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双门发酵箱</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val="false"/>
          </w:tcPr>
          <w:p>
            <w:pP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1、双门；</w:t>
            </w:r>
            <w:r>
              <w:rPr>
                <w:rFonts w:hint="eastAsia"/>
                <w:sz w:val="20"/>
                <w:szCs w:val="20"/>
              </w:rPr>
              <w:br/>
              <w:t xml:space="preserve">2、规格：32盘；</w:t>
            </w:r>
            <w:r>
              <w:rPr>
                <w:rFonts w:hint="eastAsia"/>
                <w:sz w:val="20"/>
                <w:szCs w:val="20"/>
              </w:rPr>
              <w:br/>
              <w:t xml:space="preserve">3、功率：≥3.1KW。</w:t>
            </w:r>
            <w:r/>
          </w:p>
        </w:tc>
        <w:tc>
          <w:tcPr>
            <w:tcBorders>
              <w:top w:val="none" w:color="000000" w:sz="4" w:space="0"/>
              <w:left w:val="none" w:color="000000" w:sz="4" w:space="0"/>
              <w:bottom w:val="single" w:color="auto" w:sz="4" w:space="0"/>
              <w:right w:val="single" w:color="auto"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31" w:type="dxa"/>
            <w:vAlign w:val="center"/>
            <w:textDirection w:val="lrTb"/>
            <w:noWrap/>
          </w:tcPr>
          <w:p>
            <w:pPr>
              <w:jc w:val="center"/>
              <w:rPr>
                <w:rFonts w:hint="eastAsia"/>
                <w:sz w:val="20"/>
                <w:szCs w:val="20"/>
              </w:rPr>
            </w:pPr>
            <w:r>
              <w:rPr>
                <w:rFonts w:hint="eastAsia"/>
                <w:sz w:val="20"/>
                <w:szCs w:val="20"/>
              </w:rPr>
              <w:t xml:space="preserve">1</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121</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炉拼台1</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300*1200*800+400</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1、台面:采用SUS304 ≥1.5mm不锈钢板；</w:t>
            </w:r>
            <w:r>
              <w:rPr>
                <w:rFonts w:hint="eastAsia"/>
                <w:sz w:val="20"/>
                <w:szCs w:val="20"/>
              </w:rPr>
              <w:br/>
              <w:t xml:space="preserve">2、加强筋：采用SUS304 ≥1.2mm不锈钢板；</w:t>
            </w:r>
            <w:r>
              <w:rPr>
                <w:rFonts w:hint="eastAsia"/>
                <w:sz w:val="20"/>
                <w:szCs w:val="20"/>
              </w:rPr>
              <w:br/>
              <w:t xml:space="preserve">3、脚架：采用SUS304 </w:t>
            </w:r>
            <w:r>
              <w:rPr>
                <w:rFonts w:ascii="Calibri" w:hAnsi="Calibri" w:cs="Calibri"/>
                <w:sz w:val="20"/>
                <w:szCs w:val="20"/>
              </w:rPr>
              <w:t xml:space="preserve">φ</w:t>
            </w:r>
            <w:r>
              <w:rPr>
                <w:rFonts w:hint="eastAsia"/>
                <w:sz w:val="20"/>
                <w:szCs w:val="20"/>
              </w:rPr>
              <w:t xml:space="preserve">38mm，厚度≥1.5mm不锈钢定形管；</w:t>
            </w:r>
            <w:r>
              <w:rPr>
                <w:rFonts w:hint="eastAsia"/>
                <w:sz w:val="20"/>
                <w:szCs w:val="20"/>
              </w:rPr>
              <w:br/>
              <w:t xml:space="preserve">4、横档：采用SUS304 </w:t>
            </w:r>
            <w:r>
              <w:rPr>
                <w:rFonts w:ascii="Calibri" w:hAnsi="Calibri" w:cs="Calibri"/>
                <w:sz w:val="20"/>
                <w:szCs w:val="20"/>
              </w:rPr>
              <w:t xml:space="preserve">ф</w:t>
            </w:r>
            <w:r>
              <w:rPr>
                <w:rFonts w:hint="eastAsia"/>
                <w:sz w:val="20"/>
                <w:szCs w:val="20"/>
              </w:rPr>
              <w:t xml:space="preserve">25mm，厚度≥</w:t>
            </w:r>
            <w:r>
              <w:rPr>
                <w:rFonts w:hint="eastAsia"/>
                <w:sz w:val="20"/>
                <w:szCs w:val="20"/>
              </w:rPr>
              <w:t xml:space="preserve">1.2mm不锈钢定形管；</w:t>
            </w:r>
            <w:r>
              <w:rPr>
                <w:rFonts w:hint="eastAsia"/>
                <w:sz w:val="20"/>
                <w:szCs w:val="20"/>
              </w:rPr>
              <w:br/>
              <w:t xml:space="preserve">5、配不锈钢调节子弹脚。</w:t>
            </w:r>
            <w:r/>
          </w:p>
        </w:tc>
        <w:tc>
          <w:tcPr>
            <w:tcBorders>
              <w:top w:val="none" w:color="000000" w:sz="4" w:space="0"/>
              <w:left w:val="none" w:color="000000" w:sz="4" w:space="0"/>
              <w:bottom w:val="single" w:color="auto" w:sz="4" w:space="0"/>
              <w:right w:val="single" w:color="auto"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31" w:type="dxa"/>
            <w:vAlign w:val="center"/>
            <w:textDirection w:val="lrTb"/>
            <w:noWrap/>
          </w:tcPr>
          <w:p>
            <w:pPr>
              <w:jc w:val="center"/>
              <w:rPr>
                <w:rFonts w:hint="eastAsia"/>
                <w:sz w:val="20"/>
                <w:szCs w:val="20"/>
              </w:rPr>
            </w:pPr>
            <w:r>
              <w:rPr>
                <w:rFonts w:hint="eastAsia"/>
                <w:sz w:val="20"/>
                <w:szCs w:val="20"/>
              </w:rPr>
              <w:t xml:space="preserve">21</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122</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炉拼台2</w:t>
            </w: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tcPr>
          <w:p>
            <w:pPr>
              <w:rPr>
                <w:rFonts w:hint="eastAsia"/>
                <w:sz w:val="20"/>
                <w:szCs w:val="20"/>
              </w:rPr>
            </w:pPr>
            <w:r>
              <w:rPr>
                <w:rFonts w:hint="eastAsia"/>
                <w:sz w:val="20"/>
                <w:szCs w:val="20"/>
              </w:rPr>
              <w:t xml:space="preserve">450*1200*800+400</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1、台面:采用SUS304 ≥1.5mm不锈钢板；</w:t>
            </w:r>
            <w:r>
              <w:rPr>
                <w:rFonts w:hint="eastAsia"/>
                <w:sz w:val="20"/>
                <w:szCs w:val="20"/>
              </w:rPr>
              <w:br/>
              <w:t xml:space="preserve">2、加强筋：采用SUS304 ≥1.2mm不锈钢板；</w:t>
            </w:r>
            <w:r>
              <w:rPr>
                <w:rFonts w:hint="eastAsia"/>
                <w:sz w:val="20"/>
                <w:szCs w:val="20"/>
              </w:rPr>
              <w:br/>
              <w:t xml:space="preserve">3、脚架：采用SUS304 </w:t>
            </w:r>
            <w:r>
              <w:rPr>
                <w:rFonts w:ascii="Calibri" w:hAnsi="Calibri" w:cs="Calibri"/>
                <w:sz w:val="20"/>
                <w:szCs w:val="20"/>
              </w:rPr>
              <w:t xml:space="preserve">φ</w:t>
            </w:r>
            <w:r>
              <w:rPr>
                <w:rFonts w:hint="eastAsia"/>
                <w:sz w:val="20"/>
                <w:szCs w:val="20"/>
              </w:rPr>
              <w:t xml:space="preserve">38mm，厚度≥1.5mm不锈钢定形管；</w:t>
            </w:r>
            <w:r>
              <w:rPr>
                <w:rFonts w:hint="eastAsia"/>
                <w:sz w:val="20"/>
                <w:szCs w:val="20"/>
              </w:rPr>
              <w:br/>
              <w:t xml:space="preserve">4、横档：采用SUS304 </w:t>
            </w:r>
            <w:r>
              <w:rPr>
                <w:rFonts w:ascii="Calibri" w:hAnsi="Calibri" w:cs="Calibri"/>
                <w:sz w:val="20"/>
                <w:szCs w:val="20"/>
              </w:rPr>
              <w:t xml:space="preserve">ф</w:t>
            </w:r>
            <w:r>
              <w:rPr>
                <w:rFonts w:hint="eastAsia"/>
                <w:sz w:val="20"/>
                <w:szCs w:val="20"/>
              </w:rPr>
              <w:t xml:space="preserve">25mm，厚度≥1.2mm不锈钢定形管；</w:t>
            </w:r>
            <w:r>
              <w:rPr>
                <w:rFonts w:hint="eastAsia"/>
                <w:sz w:val="20"/>
                <w:szCs w:val="20"/>
              </w:rPr>
              <w:br/>
              <w:t xml:space="preserve">5、配不锈钢调节子弹脚。</w:t>
            </w:r>
            <w:r/>
          </w:p>
        </w:tc>
        <w:tc>
          <w:tcPr>
            <w:tcBorders>
              <w:top w:val="none" w:color="000000" w:sz="4" w:space="0"/>
              <w:left w:val="none" w:color="000000" w:sz="4" w:space="0"/>
              <w:bottom w:val="single" w:color="000000" w:sz="4" w:space="0"/>
              <w:right w:val="single" w:color="000000"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000000" w:sz="4" w:space="0"/>
              <w:right w:val="single" w:color="000000" w:sz="4" w:space="0"/>
            </w:tcBorders>
            <w:tcW w:w="631" w:type="dxa"/>
            <w:vAlign w:val="center"/>
            <w:textDirection w:val="lrTb"/>
            <w:noWrap/>
          </w:tcPr>
          <w:p>
            <w:pPr>
              <w:jc w:val="center"/>
              <w:rPr>
                <w:rFonts w:hint="eastAsia"/>
                <w:sz w:val="20"/>
                <w:szCs w:val="20"/>
              </w:rPr>
            </w:pPr>
            <w:r>
              <w:rPr>
                <w:rFonts w:hint="eastAsia"/>
                <w:sz w:val="20"/>
                <w:szCs w:val="20"/>
              </w:rPr>
              <w:t xml:space="preserve">2</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123</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炉拼台3</w:t>
            </w: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tcPr>
          <w:p>
            <w:pPr>
              <w:rPr>
                <w:rFonts w:hint="eastAsia"/>
                <w:sz w:val="20"/>
                <w:szCs w:val="20"/>
              </w:rPr>
            </w:pPr>
            <w:r>
              <w:rPr>
                <w:rFonts w:hint="eastAsia"/>
                <w:sz w:val="20"/>
                <w:szCs w:val="20"/>
              </w:rPr>
              <w:t xml:space="preserve">500*1200*800+400</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1、台面:采用SUS304 ≥1.5mm不锈钢板；</w:t>
            </w:r>
            <w:r>
              <w:rPr>
                <w:rFonts w:hint="eastAsia"/>
                <w:sz w:val="20"/>
                <w:szCs w:val="20"/>
              </w:rPr>
              <w:br/>
              <w:t xml:space="preserve">2、加强筋：采用SUS304 ≥1.2mm不锈钢板；</w:t>
            </w:r>
            <w:r>
              <w:rPr>
                <w:rFonts w:hint="eastAsia"/>
                <w:sz w:val="20"/>
                <w:szCs w:val="20"/>
              </w:rPr>
              <w:br/>
              <w:t xml:space="preserve">3、脚架：采用SUS304 </w:t>
            </w:r>
            <w:r>
              <w:rPr>
                <w:rFonts w:ascii="Calibri" w:hAnsi="Calibri" w:cs="Calibri"/>
                <w:sz w:val="20"/>
                <w:szCs w:val="20"/>
              </w:rPr>
              <w:t xml:space="preserve">φ</w:t>
            </w:r>
            <w:r>
              <w:rPr>
                <w:rFonts w:hint="eastAsia"/>
                <w:sz w:val="20"/>
                <w:szCs w:val="20"/>
              </w:rPr>
              <w:t xml:space="preserve">38mm，厚度≥1.5mm不锈钢定形管；</w:t>
            </w:r>
            <w:r>
              <w:rPr>
                <w:rFonts w:hint="eastAsia"/>
                <w:sz w:val="20"/>
                <w:szCs w:val="20"/>
              </w:rPr>
              <w:br/>
              <w:t xml:space="preserve">4、横档：采用SUS304 </w:t>
            </w:r>
            <w:r>
              <w:rPr>
                <w:rFonts w:ascii="Calibri" w:hAnsi="Calibri" w:cs="Calibri"/>
                <w:sz w:val="20"/>
                <w:szCs w:val="20"/>
              </w:rPr>
              <w:t xml:space="preserve">ф</w:t>
            </w:r>
            <w:r>
              <w:rPr>
                <w:rFonts w:hint="eastAsia"/>
                <w:sz w:val="20"/>
                <w:szCs w:val="20"/>
              </w:rPr>
              <w:t xml:space="preserve">25mm，厚度≥1.2mm不锈钢定形管；</w:t>
            </w:r>
            <w:r>
              <w:rPr>
                <w:rFonts w:hint="eastAsia"/>
                <w:sz w:val="20"/>
                <w:szCs w:val="20"/>
              </w:rPr>
              <w:br/>
              <w:t xml:space="preserve">5、配不锈钢调节子弹脚。</w:t>
            </w:r>
            <w:r/>
          </w:p>
        </w:tc>
        <w:tc>
          <w:tcPr>
            <w:tcBorders>
              <w:top w:val="none" w:color="000000" w:sz="4" w:space="0"/>
              <w:left w:val="none" w:color="000000" w:sz="4" w:space="0"/>
              <w:bottom w:val="single" w:color="000000" w:sz="4" w:space="0"/>
              <w:right w:val="single" w:color="000000"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000000" w:sz="4" w:space="0"/>
              <w:right w:val="single" w:color="000000" w:sz="4" w:space="0"/>
            </w:tcBorders>
            <w:tcW w:w="631" w:type="dxa"/>
            <w:vAlign w:val="center"/>
            <w:textDirection w:val="lrTb"/>
            <w:noWrap/>
          </w:tcPr>
          <w:p>
            <w:pPr>
              <w:jc w:val="center"/>
              <w:rPr>
                <w:rFonts w:hint="eastAsia"/>
                <w:sz w:val="20"/>
                <w:szCs w:val="20"/>
              </w:rPr>
            </w:pPr>
            <w:r>
              <w:rPr>
                <w:rFonts w:hint="eastAsia"/>
                <w:sz w:val="20"/>
                <w:szCs w:val="20"/>
              </w:rPr>
              <w:t xml:space="preserve">6</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124</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炉拼台4</w:t>
            </w:r>
            <w:r/>
          </w:p>
        </w:tc>
        <w:tc>
          <w:tcPr>
            <w:tcBorders>
              <w:top w:val="none" w:color="000000" w:sz="4" w:space="0"/>
              <w:left w:val="none" w:color="000000" w:sz="4" w:space="0"/>
              <w:bottom w:val="single" w:color="auto" w:sz="4" w:space="0"/>
              <w:right w:val="single" w:color="000000" w:sz="4" w:space="0"/>
            </w:tcBorders>
            <w:tcW w:w="1916" w:type="dxa"/>
            <w:vAlign w:val="center"/>
            <w:textDirection w:val="lrTb"/>
            <w:noWrap/>
          </w:tcPr>
          <w:p>
            <w:pPr>
              <w:rPr>
                <w:rFonts w:hint="eastAsia"/>
                <w:sz w:val="20"/>
                <w:szCs w:val="20"/>
              </w:rPr>
            </w:pPr>
            <w:r>
              <w:rPr>
                <w:rFonts w:hint="eastAsia"/>
                <w:sz w:val="20"/>
                <w:szCs w:val="20"/>
              </w:rPr>
              <w:t xml:space="preserve">650*750*800+400</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1、台面:采用SUS304 ≥1.5mm不锈钢板；</w:t>
            </w:r>
            <w:r>
              <w:rPr>
                <w:rFonts w:hint="eastAsia"/>
                <w:sz w:val="20"/>
                <w:szCs w:val="20"/>
              </w:rPr>
              <w:br/>
              <w:t xml:space="preserve">2、加强筋：采用SUS304 ≥1.2mm不锈钢板；</w:t>
            </w:r>
            <w:r>
              <w:rPr>
                <w:rFonts w:hint="eastAsia"/>
                <w:sz w:val="20"/>
                <w:szCs w:val="20"/>
              </w:rPr>
              <w:br/>
              <w:t xml:space="preserve">3、脚架：采用SUS304 </w:t>
            </w:r>
            <w:r>
              <w:rPr>
                <w:rFonts w:ascii="Calibri" w:hAnsi="Calibri" w:cs="Calibri"/>
                <w:sz w:val="20"/>
                <w:szCs w:val="20"/>
              </w:rPr>
              <w:t xml:space="preserve">φ</w:t>
            </w:r>
            <w:r>
              <w:rPr>
                <w:rFonts w:hint="eastAsia"/>
                <w:sz w:val="20"/>
                <w:szCs w:val="20"/>
              </w:rPr>
              <w:t xml:space="preserve">38mm，厚度≥1.5mm不锈钢定形管；</w:t>
            </w:r>
            <w:r>
              <w:rPr>
                <w:rFonts w:hint="eastAsia"/>
                <w:sz w:val="20"/>
                <w:szCs w:val="20"/>
              </w:rPr>
              <w:br/>
              <w:t xml:space="preserve">4、横档：采用SUS304 </w:t>
            </w:r>
            <w:r>
              <w:rPr>
                <w:rFonts w:ascii="Calibri" w:hAnsi="Calibri" w:cs="Calibri"/>
                <w:sz w:val="20"/>
                <w:szCs w:val="20"/>
              </w:rPr>
              <w:t xml:space="preserve">ф</w:t>
            </w:r>
            <w:r>
              <w:rPr>
                <w:rFonts w:hint="eastAsia"/>
                <w:sz w:val="20"/>
                <w:szCs w:val="20"/>
              </w:rPr>
              <w:t xml:space="preserve">25mm，厚度≥1.2mm不锈钢定形管；</w:t>
            </w:r>
            <w:r>
              <w:rPr>
                <w:rFonts w:hint="eastAsia"/>
                <w:sz w:val="20"/>
                <w:szCs w:val="20"/>
              </w:rPr>
              <w:br/>
              <w:t xml:space="preserve">5、配不锈钢调节子弹脚。</w:t>
            </w:r>
            <w:r/>
          </w:p>
        </w:tc>
        <w:tc>
          <w:tcPr>
            <w:tcBorders>
              <w:top w:val="none" w:color="000000" w:sz="4" w:space="0"/>
              <w:left w:val="none" w:color="000000" w:sz="4" w:space="0"/>
              <w:bottom w:val="single" w:color="auto" w:sz="4" w:space="0"/>
              <w:right w:val="single" w:color="000000"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000000" w:sz="4" w:space="0"/>
            </w:tcBorders>
            <w:tcW w:w="631" w:type="dxa"/>
            <w:vAlign w:val="center"/>
            <w:textDirection w:val="lrTb"/>
            <w:noWrap/>
          </w:tcPr>
          <w:p>
            <w:pPr>
              <w:jc w:val="center"/>
              <w:rPr>
                <w:rFonts w:hint="eastAsia"/>
                <w:sz w:val="20"/>
                <w:szCs w:val="20"/>
              </w:rPr>
            </w:pPr>
            <w:r>
              <w:rPr>
                <w:rFonts w:hint="eastAsia"/>
                <w:sz w:val="20"/>
                <w:szCs w:val="20"/>
              </w:rPr>
              <w:t xml:space="preserve">1</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rHeight w:val="908"/>
        </w:trPr>
        <w:tc>
          <w:tcPr>
            <w:tcBorders>
              <w:top w:val="single" w:color="auto"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125</w:t>
            </w:r>
            <w:r/>
          </w:p>
        </w:tc>
        <w:tc>
          <w:tcPr>
            <w:tcBorders>
              <w:top w:val="single" w:color="auto"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暖饭暖汤车</w:t>
            </w:r>
            <w:r/>
          </w:p>
        </w:tc>
        <w:tc>
          <w:tcPr>
            <w:tcBorders>
              <w:top w:val="single" w:color="auto"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600*600*800</w:t>
            </w:r>
            <w:r/>
          </w:p>
        </w:tc>
        <w:tc>
          <w:tcPr>
            <w:tcBorders>
              <w:top w:val="single" w:color="auto"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1、台面：采用SUS304 ≥1.5mm不锈钢板；</w:t>
            </w:r>
            <w:r>
              <w:rPr>
                <w:rFonts w:hint="eastAsia"/>
                <w:sz w:val="20"/>
                <w:szCs w:val="20"/>
              </w:rPr>
              <w:br/>
              <w:t xml:space="preserve">2、围板：采用SUS304 ≥1.2mm不锈钢板；</w:t>
            </w:r>
            <w:r>
              <w:rPr>
                <w:rFonts w:hint="eastAsia"/>
                <w:sz w:val="20"/>
                <w:szCs w:val="20"/>
              </w:rPr>
              <w:br/>
              <w:t xml:space="preserve">3、SUS304不锈钢发热管；</w:t>
            </w:r>
            <w:r>
              <w:rPr>
                <w:rFonts w:hint="eastAsia"/>
                <w:sz w:val="20"/>
                <w:szCs w:val="20"/>
              </w:rPr>
              <w:br/>
              <w:t xml:space="preserve">4、功率：≥3KW；</w:t>
            </w:r>
            <w:r>
              <w:rPr>
                <w:rFonts w:hint="eastAsia"/>
                <w:sz w:val="20"/>
                <w:szCs w:val="20"/>
              </w:rPr>
              <w:br/>
              <w:t xml:space="preserve">5、万向轮带刹车。</w:t>
            </w:r>
            <w:r/>
          </w:p>
        </w:tc>
        <w:tc>
          <w:tcPr>
            <w:tcBorders>
              <w:top w:val="single" w:color="auto" w:sz="4" w:space="0"/>
              <w:left w:val="none" w:color="000000" w:sz="4" w:space="0"/>
              <w:bottom w:val="single" w:color="auto" w:sz="4" w:space="0"/>
              <w:right w:val="single" w:color="auto"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single" w:color="auto" w:sz="4" w:space="0"/>
              <w:left w:val="none" w:color="000000" w:sz="4" w:space="0"/>
              <w:bottom w:val="single" w:color="auto" w:sz="4" w:space="0"/>
              <w:right w:val="single" w:color="auto" w:sz="4" w:space="0"/>
            </w:tcBorders>
            <w:tcW w:w="631" w:type="dxa"/>
            <w:vAlign w:val="center"/>
            <w:textDirection w:val="lrTb"/>
            <w:noWrap/>
          </w:tcPr>
          <w:p>
            <w:pPr>
              <w:jc w:val="center"/>
              <w:rPr>
                <w:rFonts w:hint="eastAsia"/>
                <w:sz w:val="20"/>
                <w:szCs w:val="20"/>
              </w:rPr>
            </w:pPr>
            <w:r>
              <w:rPr>
                <w:rFonts w:hint="eastAsia"/>
                <w:sz w:val="20"/>
                <w:szCs w:val="20"/>
              </w:rPr>
              <w:t xml:space="preserve">6</w:t>
            </w:r>
            <w:r/>
          </w:p>
        </w:tc>
        <w:tc>
          <w:tcPr>
            <w:tcBorders>
              <w:top w:val="single" w:color="auto" w:sz="4" w:space="0"/>
              <w:left w:val="none" w:color="000000" w:sz="4" w:space="0"/>
              <w:bottom w:val="single" w:color="auto" w:sz="4" w:space="0"/>
              <w:right w:val="none" w:color="000000" w:sz="4" w:space="0"/>
            </w:tcBorders>
            <w:tcW w:w="1630" w:type="dxa"/>
            <w:vAlign w:val="center"/>
            <w:textDirection w:val="lrTb"/>
            <w:noWrap/>
          </w:tcPr>
          <w:p>
            <w:pPr>
              <w:jc w:val="center"/>
              <w:rPr>
                <w:rFonts w:hint="eastAsia"/>
                <w:sz w:val="20"/>
                <w:szCs w:val="20"/>
              </w:rPr>
            </w:pPr>
            <w:r>
              <w:rPr>
                <w:rFonts w:hint="eastAsia"/>
                <w:sz w:val="20"/>
                <w:szCs w:val="20"/>
              </w:rPr>
            </w:r>
            <w:r/>
          </w:p>
        </w:tc>
        <w:tc>
          <w:tcPr>
            <w:tcBorders>
              <w:top w:val="single" w:color="auto" w:sz="4" w:space="0"/>
              <w:left w:val="single" w:color="auto"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single" w:color="auto"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single" w:color="auto"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126</w:t>
            </w:r>
            <w:r/>
          </w:p>
        </w:tc>
        <w:tc>
          <w:tcPr>
            <w:tcBorders>
              <w:top w:val="single" w:color="auto" w:sz="4" w:space="0"/>
              <w:left w:val="none" w:color="000000" w:sz="4" w:space="0"/>
              <w:bottom w:val="single" w:color="auto" w:sz="4" w:space="0"/>
              <w:right w:val="single" w:color="auto" w:sz="4" w:space="0"/>
            </w:tcBorders>
            <w:tcW w:w="1637" w:type="dxa"/>
            <w:vAlign w:val="center"/>
            <w:textDirection w:val="lrTb"/>
            <w:noWrap w:val="false"/>
          </w:tcPr>
          <w:p>
            <w:pPr>
              <w:rPr>
                <w:rFonts w:hint="eastAsia"/>
                <w:sz w:val="20"/>
                <w:szCs w:val="20"/>
              </w:rPr>
            </w:pPr>
            <w:r>
              <w:rPr>
                <w:rFonts w:hint="eastAsia"/>
                <w:sz w:val="20"/>
                <w:szCs w:val="20"/>
              </w:rPr>
              <w:t xml:space="preserve">立式双玻璃门展示柜</w:t>
            </w:r>
            <w:r/>
          </w:p>
        </w:tc>
        <w:tc>
          <w:tcPr>
            <w:tcBorders>
              <w:top w:val="single" w:color="auto"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620*760*1980</w:t>
            </w:r>
            <w:r/>
          </w:p>
        </w:tc>
        <w:tc>
          <w:tcPr>
            <w:tcBorders>
              <w:top w:val="single" w:color="auto"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1、温度范围：2~5℃，配全自动电子温控器；</w:t>
            </w:r>
            <w:r>
              <w:rPr>
                <w:rFonts w:hint="eastAsia"/>
                <w:sz w:val="20"/>
                <w:szCs w:val="20"/>
              </w:rPr>
              <w:br/>
              <w:t xml:space="preserve">2、制冷方式：风冷；</w:t>
            </w:r>
            <w:r>
              <w:rPr>
                <w:rFonts w:hint="eastAsia"/>
                <w:sz w:val="20"/>
                <w:szCs w:val="20"/>
              </w:rPr>
              <w:br/>
            </w:r>
            <w:r>
              <w:rPr>
                <w:rFonts w:hint="eastAsia"/>
                <w:sz w:val="20"/>
                <w:szCs w:val="20"/>
              </w:rPr>
              <w:t xml:space="preserve">3、容积：≥450L；额定功率：≥380W； </w:t>
            </w:r>
            <w:r>
              <w:rPr>
                <w:rFonts w:hint="eastAsia"/>
                <w:sz w:val="20"/>
                <w:szCs w:val="20"/>
              </w:rPr>
              <w:br/>
              <w:t xml:space="preserve">4、150重力子弹脚；</w:t>
            </w:r>
            <w:r>
              <w:rPr>
                <w:rFonts w:hint="eastAsia"/>
                <w:sz w:val="20"/>
                <w:szCs w:val="20"/>
              </w:rPr>
              <w:br/>
              <w:t xml:space="preserve">5、外部材质：≥0.7mm SUS304不锈钢；内部材质：≥0.7mm SUS304不锈钢；</w:t>
            </w:r>
            <w:r>
              <w:rPr>
                <w:rFonts w:hint="eastAsia"/>
                <w:sz w:val="20"/>
                <w:szCs w:val="20"/>
              </w:rPr>
              <w:br/>
              <w:t xml:space="preserve">6、聚胺脂隔热保温材料≥50mm保温层；</w:t>
            </w:r>
            <w:r>
              <w:rPr>
                <w:rFonts w:hint="eastAsia"/>
                <w:sz w:val="20"/>
                <w:szCs w:val="20"/>
              </w:rPr>
              <w:br/>
              <w:t xml:space="preserve">7、制冷剂：R404a，制冷系统全铜管制造；</w:t>
            </w:r>
            <w:r>
              <w:rPr>
                <w:rFonts w:hint="eastAsia"/>
                <w:sz w:val="20"/>
                <w:szCs w:val="20"/>
              </w:rPr>
              <w:br/>
              <w:t xml:space="preserve">8、冷凝器配有易清洗更换防尘网；</w:t>
            </w:r>
            <w:r>
              <w:rPr>
                <w:rFonts w:hint="eastAsia"/>
                <w:sz w:val="20"/>
                <w:szCs w:val="20"/>
              </w:rPr>
              <w:br/>
              <w:t xml:space="preserve">9、配有微电脑控温液晶数字显示屏，精确提供当前机器运行参考数值；</w:t>
            </w:r>
            <w:r>
              <w:rPr>
                <w:rFonts w:hint="eastAsia"/>
                <w:sz w:val="20"/>
                <w:szCs w:val="20"/>
              </w:rPr>
              <w:br/>
              <w:t xml:space="preserve">10、全铜加厚蒸发器，电泳工艺防腐；</w:t>
            </w:r>
            <w:r>
              <w:rPr>
                <w:rFonts w:hint="eastAsia"/>
                <w:sz w:val="20"/>
                <w:szCs w:val="20"/>
              </w:rPr>
              <w:br/>
              <w:t xml:space="preserve">11、圆角内底盘设计，易清理，无死角；</w:t>
            </w:r>
            <w:r>
              <w:rPr>
                <w:rFonts w:hint="eastAsia"/>
                <w:sz w:val="20"/>
                <w:szCs w:val="20"/>
              </w:rPr>
              <w:br/>
              <w:t xml:space="preserve">12、冷藏豪华双层中空玻璃，LED照明；</w:t>
            </w:r>
            <w:r>
              <w:rPr>
                <w:rFonts w:hint="eastAsia"/>
                <w:sz w:val="20"/>
                <w:szCs w:val="20"/>
              </w:rPr>
              <w:br/>
              <w:t xml:space="preserve">13、弹簧铰链自动回归门，不锈钢加厚门把手圆角打磨；</w:t>
            </w:r>
            <w:r>
              <w:rPr>
                <w:rFonts w:hint="eastAsia"/>
                <w:sz w:val="20"/>
                <w:szCs w:val="20"/>
              </w:rPr>
              <w:br/>
              <w:t xml:space="preserve">14、内置蒸发器精铜管，科学有效盘管，不易泄露，使用寿命长。</w:t>
            </w:r>
            <w:r/>
          </w:p>
        </w:tc>
        <w:tc>
          <w:tcPr>
            <w:tcBorders>
              <w:top w:val="single" w:color="auto" w:sz="4" w:space="0"/>
              <w:left w:val="none" w:color="000000" w:sz="4" w:space="0"/>
              <w:bottom w:val="single" w:color="auto" w:sz="4" w:space="0"/>
              <w:right w:val="single" w:color="auto"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single" w:color="auto" w:sz="4" w:space="0"/>
              <w:left w:val="single" w:color="auto" w:sz="4" w:space="0"/>
              <w:bottom w:val="single" w:color="auto" w:sz="4" w:space="0"/>
              <w:right w:val="single" w:color="auto" w:sz="4" w:space="0"/>
            </w:tcBorders>
            <w:tcW w:w="631" w:type="dxa"/>
            <w:vAlign w:val="center"/>
            <w:textDirection w:val="lrTb"/>
            <w:noWrap/>
          </w:tcPr>
          <w:p>
            <w:pPr>
              <w:jc w:val="center"/>
              <w:rPr>
                <w:rFonts w:hint="eastAsia"/>
                <w:sz w:val="20"/>
                <w:szCs w:val="20"/>
              </w:rPr>
            </w:pPr>
            <w:r>
              <w:rPr>
                <w:rFonts w:hint="eastAsia"/>
                <w:sz w:val="20"/>
                <w:szCs w:val="20"/>
              </w:rPr>
              <w:t xml:space="preserve">1</w:t>
            </w:r>
            <w:r/>
          </w:p>
        </w:tc>
        <w:tc>
          <w:tcPr>
            <w:tcBorders>
              <w:top w:val="single" w:color="auto" w:sz="4" w:space="0"/>
              <w:left w:val="single" w:color="auto" w:sz="4" w:space="0"/>
              <w:bottom w:val="single" w:color="auto" w:sz="4" w:space="0"/>
              <w:right w:val="single" w:color="auto" w:sz="4" w:space="0"/>
            </w:tcBorders>
            <w:tcW w:w="1630" w:type="dxa"/>
            <w:vAlign w:val="center"/>
            <w:textDirection w:val="lrTb"/>
            <w:noWrap/>
          </w:tcPr>
          <w:p>
            <w:pPr>
              <w:jc w:val="center"/>
              <w:rPr>
                <w:rFonts w:hint="eastAsia"/>
                <w:sz w:val="20"/>
                <w:szCs w:val="20"/>
              </w:rPr>
            </w:pPr>
            <w:r>
              <w:rPr>
                <w:rFonts w:hint="eastAsia"/>
                <w:sz w:val="20"/>
                <w:szCs w:val="20"/>
              </w:rPr>
            </w:r>
            <w:r/>
          </w:p>
        </w:tc>
        <w:tc>
          <w:tcPr>
            <w:tcBorders>
              <w:top w:val="single" w:color="auto" w:sz="4" w:space="0"/>
              <w:left w:val="single" w:color="auto"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single" w:color="auto" w:sz="4" w:space="0"/>
              <w:left w:val="single" w:color="auto"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127</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val="false"/>
          </w:tcPr>
          <w:p>
            <w:pPr>
              <w:rPr>
                <w:rFonts w:hint="eastAsia"/>
                <w:sz w:val="20"/>
                <w:szCs w:val="20"/>
              </w:rPr>
            </w:pPr>
            <w:r>
              <w:rPr>
                <w:rFonts w:hint="eastAsia"/>
                <w:sz w:val="20"/>
                <w:szCs w:val="20"/>
              </w:rPr>
              <w:t xml:space="preserve">四门双机双温高身雪柜</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1220*760*1980</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1、温度范围：下箱：-15~-18℃、上箱：0~5℃，配全自动电子温控器；</w:t>
            </w:r>
            <w:r>
              <w:rPr>
                <w:rFonts w:hint="eastAsia"/>
                <w:sz w:val="20"/>
                <w:szCs w:val="20"/>
              </w:rPr>
              <w:br/>
              <w:t xml:space="preserve">2、制冷方式：风冷；</w:t>
            </w:r>
            <w:r>
              <w:rPr>
                <w:rFonts w:hint="eastAsia"/>
                <w:sz w:val="20"/>
                <w:szCs w:val="20"/>
              </w:rPr>
              <w:br/>
              <w:t xml:space="preserve">3、容积：≥900L；额定功率：≥980W；</w:t>
            </w:r>
            <w:r>
              <w:rPr>
                <w:rFonts w:hint="eastAsia"/>
                <w:sz w:val="20"/>
                <w:szCs w:val="20"/>
              </w:rPr>
              <w:br/>
              <w:t xml:space="preserve">4、150重力子弹脚；</w:t>
            </w:r>
            <w:r>
              <w:rPr>
                <w:rFonts w:hint="eastAsia"/>
                <w:sz w:val="20"/>
                <w:szCs w:val="20"/>
              </w:rPr>
              <w:br/>
              <w:t xml:space="preserve">5、外部材质：≥0.7mm SUS304不锈钢；内部材质：≥0.7mm SUS304不锈钢；</w:t>
            </w:r>
            <w:r>
              <w:rPr>
                <w:rFonts w:hint="eastAsia"/>
                <w:sz w:val="20"/>
                <w:szCs w:val="20"/>
              </w:rPr>
              <w:br/>
              <w:t xml:space="preserve">6、聚胺脂隔热保温材料≥50mm保温层；</w:t>
            </w:r>
            <w:r>
              <w:rPr>
                <w:rFonts w:hint="eastAsia"/>
                <w:sz w:val="20"/>
                <w:szCs w:val="20"/>
              </w:rPr>
              <w:br/>
              <w:t xml:space="preserve">7、制冷剂：R404a，制冷系统全铜管制造；</w:t>
            </w:r>
            <w:r>
              <w:rPr>
                <w:rFonts w:hint="eastAsia"/>
                <w:sz w:val="20"/>
                <w:szCs w:val="20"/>
              </w:rPr>
              <w:br/>
              <w:t xml:space="preserve">8、冷凝器配有易清洗更换防尘网；</w:t>
            </w:r>
            <w:r>
              <w:rPr>
                <w:rFonts w:hint="eastAsia"/>
                <w:sz w:val="20"/>
                <w:szCs w:val="20"/>
              </w:rPr>
              <w:br/>
              <w:t xml:space="preserve">9、配有微电脑控温液晶数字显示屏，精确提供当前机器运行参考数值；</w:t>
            </w:r>
            <w:r>
              <w:rPr>
                <w:rFonts w:hint="eastAsia"/>
                <w:sz w:val="20"/>
                <w:szCs w:val="20"/>
              </w:rPr>
              <w:br/>
              <w:t xml:space="preserve">10、全铜加厚蒸发器，电泳工艺防腐；</w:t>
            </w:r>
            <w:r>
              <w:rPr>
                <w:rFonts w:hint="eastAsia"/>
                <w:sz w:val="20"/>
                <w:szCs w:val="20"/>
              </w:rPr>
              <w:br/>
              <w:t xml:space="preserve">11、圆角内底盘设计，易清理，无死角；</w:t>
            </w:r>
            <w:r>
              <w:rPr>
                <w:rFonts w:hint="eastAsia"/>
                <w:sz w:val="20"/>
                <w:szCs w:val="20"/>
              </w:rPr>
              <w:br/>
              <w:t xml:space="preserve">12、冷冻室圈梁，竖梁十字型带加热除霜、除露功能，冰箱外壁无结露；</w:t>
            </w:r>
            <w:r>
              <w:rPr>
                <w:rFonts w:hint="eastAsia"/>
                <w:sz w:val="20"/>
                <w:szCs w:val="20"/>
              </w:rPr>
              <w:br/>
              <w:t xml:space="preserve">13、弹簧铰链自动回归门，不锈钢加厚门把手圆角打磨；</w:t>
            </w:r>
            <w:r>
              <w:rPr>
                <w:rFonts w:hint="eastAsia"/>
                <w:sz w:val="20"/>
                <w:szCs w:val="20"/>
              </w:rPr>
              <w:br/>
            </w:r>
            <w:r>
              <w:rPr>
                <w:rFonts w:hint="eastAsia"/>
                <w:sz w:val="20"/>
                <w:szCs w:val="20"/>
              </w:rPr>
              <w:t xml:space="preserve">14、内置蒸发器精铜管，科学有效盘管，不易泄露，使用寿命长。</w:t>
            </w:r>
            <w:r/>
          </w:p>
        </w:tc>
        <w:tc>
          <w:tcPr>
            <w:tcBorders>
              <w:top w:val="single" w:color="auto" w:sz="4" w:space="0"/>
              <w:left w:val="none" w:color="000000" w:sz="4" w:space="0"/>
              <w:bottom w:val="single" w:color="auto" w:sz="4" w:space="0"/>
              <w:right w:val="single" w:color="auto"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single" w:color="auto" w:sz="4" w:space="0"/>
              <w:left w:val="none" w:color="000000" w:sz="4" w:space="0"/>
              <w:bottom w:val="single" w:color="000000" w:sz="4" w:space="0"/>
              <w:right w:val="single" w:color="000000" w:sz="4" w:space="0"/>
            </w:tcBorders>
            <w:tcW w:w="631" w:type="dxa"/>
            <w:vAlign w:val="center"/>
            <w:textDirection w:val="lrTb"/>
            <w:noWrap/>
          </w:tcPr>
          <w:p>
            <w:pPr>
              <w:jc w:val="center"/>
              <w:rPr>
                <w:rFonts w:hint="eastAsia"/>
                <w:sz w:val="20"/>
                <w:szCs w:val="20"/>
              </w:rPr>
            </w:pPr>
            <w:r>
              <w:rPr>
                <w:rFonts w:hint="eastAsia"/>
                <w:sz w:val="20"/>
                <w:szCs w:val="20"/>
              </w:rPr>
              <w:t xml:space="preserve">25</w:t>
            </w:r>
            <w:r/>
          </w:p>
        </w:tc>
        <w:tc>
          <w:tcPr>
            <w:tcBorders>
              <w:top w:val="single" w:color="auto"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single" w:color="auto"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single" w:color="auto"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128</w:t>
            </w:r>
            <w:r/>
          </w:p>
        </w:tc>
        <w:tc>
          <w:tcPr>
            <w:tcBorders>
              <w:top w:val="none" w:color="000000" w:sz="4" w:space="0"/>
              <w:left w:val="none" w:color="000000" w:sz="4" w:space="0"/>
              <w:bottom w:val="single" w:color="000000" w:sz="4" w:space="0"/>
              <w:right w:val="single" w:color="000000" w:sz="4" w:space="0"/>
            </w:tcBorders>
            <w:tcW w:w="1637" w:type="dxa"/>
            <w:vAlign w:val="center"/>
            <w:textDirection w:val="lrTb"/>
            <w:noWrap/>
          </w:tcPr>
          <w:p>
            <w:pPr>
              <w:rPr>
                <w:rFonts w:hint="eastAsia"/>
                <w:sz w:val="20"/>
                <w:szCs w:val="20"/>
              </w:rPr>
            </w:pPr>
            <w:r>
              <w:rPr>
                <w:rFonts w:hint="eastAsia"/>
                <w:sz w:val="20"/>
                <w:szCs w:val="20"/>
              </w:rPr>
              <w:t xml:space="preserve">双温六门高身柜</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1830*760*1980</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1、温度范围：下箱：-15~-18℃、上箱：0~5℃，配全自动电子温控器；</w:t>
            </w:r>
            <w:r>
              <w:rPr>
                <w:rFonts w:hint="eastAsia"/>
                <w:sz w:val="20"/>
                <w:szCs w:val="20"/>
              </w:rPr>
              <w:br/>
              <w:t xml:space="preserve">2、制冷方式：风冷；</w:t>
            </w:r>
            <w:r>
              <w:rPr>
                <w:rFonts w:hint="eastAsia"/>
                <w:sz w:val="20"/>
                <w:szCs w:val="20"/>
              </w:rPr>
              <w:br/>
              <w:t xml:space="preserve">3、容积：≥1350L；额定功率：≥1280W； </w:t>
            </w:r>
            <w:r>
              <w:rPr>
                <w:rFonts w:hint="eastAsia"/>
                <w:sz w:val="20"/>
                <w:szCs w:val="20"/>
              </w:rPr>
              <w:br/>
              <w:t xml:space="preserve">4、150重力子弹脚；</w:t>
            </w:r>
            <w:r>
              <w:rPr>
                <w:rFonts w:hint="eastAsia"/>
                <w:sz w:val="20"/>
                <w:szCs w:val="20"/>
              </w:rPr>
              <w:br/>
              <w:t xml:space="preserve">5、外部材质：≥0.7mm SUS304不锈钢；内部材质：≥0.7mm SUS304不锈钢；</w:t>
            </w:r>
            <w:r>
              <w:rPr>
                <w:rFonts w:hint="eastAsia"/>
                <w:sz w:val="20"/>
                <w:szCs w:val="20"/>
              </w:rPr>
              <w:br/>
              <w:t xml:space="preserve">6、聚胺脂隔热保温材料≥50mm保温层；</w:t>
            </w:r>
            <w:r>
              <w:rPr>
                <w:rFonts w:hint="eastAsia"/>
                <w:sz w:val="20"/>
                <w:szCs w:val="20"/>
              </w:rPr>
              <w:br/>
              <w:t xml:space="preserve">7、制冷剂：R404a，制冷系统全铜管制造；</w:t>
            </w:r>
            <w:r>
              <w:rPr>
                <w:rFonts w:hint="eastAsia"/>
                <w:sz w:val="20"/>
                <w:szCs w:val="20"/>
              </w:rPr>
              <w:br/>
              <w:t xml:space="preserve">8、冷凝器配有易清洗更换防尘网；</w:t>
            </w:r>
            <w:r>
              <w:rPr>
                <w:rFonts w:hint="eastAsia"/>
                <w:sz w:val="20"/>
                <w:szCs w:val="20"/>
              </w:rPr>
              <w:br/>
              <w:t xml:space="preserve">9、配有微电脑控温液晶数字显示屏，精确提供当前机器运行参考数值；</w:t>
            </w:r>
            <w:r>
              <w:rPr>
                <w:rFonts w:hint="eastAsia"/>
                <w:sz w:val="20"/>
                <w:szCs w:val="20"/>
              </w:rPr>
              <w:br/>
              <w:t xml:space="preserve">10、全铜加厚蒸发器，电泳工艺防腐；</w:t>
            </w:r>
            <w:r>
              <w:rPr>
                <w:rFonts w:hint="eastAsia"/>
                <w:sz w:val="20"/>
                <w:szCs w:val="20"/>
              </w:rPr>
              <w:br/>
              <w:t xml:space="preserve">11、圆角内底盘设计，易清理，无死角；</w:t>
            </w:r>
            <w:r>
              <w:rPr>
                <w:rFonts w:hint="eastAsia"/>
                <w:sz w:val="20"/>
                <w:szCs w:val="20"/>
              </w:rPr>
              <w:br/>
              <w:t xml:space="preserve">12、冷冻室圈梁，竖梁十字型带加热除霜、除露功能，冰箱外壁无结露；</w:t>
            </w:r>
            <w:r>
              <w:rPr>
                <w:rFonts w:hint="eastAsia"/>
                <w:sz w:val="20"/>
                <w:szCs w:val="20"/>
              </w:rPr>
              <w:br/>
              <w:t xml:space="preserve">13、弹簧铰链自动回归门，不锈钢加厚门把手圆角打磨；</w:t>
            </w:r>
            <w:r>
              <w:rPr>
                <w:rFonts w:hint="eastAsia"/>
                <w:sz w:val="20"/>
                <w:szCs w:val="20"/>
              </w:rPr>
              <w:br/>
              <w:t xml:space="preserve">14、内置蒸发器精铜管，科学有效盘管，不易泄露，使用寿命长。</w:t>
            </w:r>
            <w:r/>
          </w:p>
        </w:tc>
        <w:tc>
          <w:tcPr>
            <w:tcBorders>
              <w:top w:val="none" w:color="000000" w:sz="4" w:space="0"/>
              <w:left w:val="none" w:color="000000" w:sz="4" w:space="0"/>
              <w:bottom w:val="single" w:color="000000" w:sz="4" w:space="0"/>
              <w:right w:val="single" w:color="000000"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31" w:type="dxa"/>
            <w:vAlign w:val="center"/>
            <w:textDirection w:val="lrTb"/>
            <w:noWrap/>
          </w:tcPr>
          <w:p>
            <w:pPr>
              <w:jc w:val="center"/>
              <w:rPr>
                <w:rFonts w:hint="eastAsia"/>
                <w:sz w:val="20"/>
                <w:szCs w:val="20"/>
              </w:rPr>
            </w:pPr>
            <w:r>
              <w:rPr>
                <w:rFonts w:hint="eastAsia"/>
                <w:sz w:val="20"/>
                <w:szCs w:val="20"/>
              </w:rPr>
              <w:t xml:space="preserve">2</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129</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val="false"/>
          </w:tcPr>
          <w:p>
            <w:pPr>
              <w:rPr>
                <w:rFonts w:hint="eastAsia"/>
                <w:sz w:val="20"/>
                <w:szCs w:val="20"/>
              </w:rPr>
            </w:pPr>
            <w:r>
              <w:rPr>
                <w:rFonts w:hint="eastAsia"/>
                <w:sz w:val="20"/>
                <w:szCs w:val="20"/>
              </w:rPr>
              <w:t xml:space="preserve">长龙式洗碗机</w:t>
            </w:r>
            <w:r>
              <w:rPr>
                <w:rFonts w:hint="eastAsia"/>
                <w:sz w:val="20"/>
                <w:szCs w:val="20"/>
              </w:rPr>
              <w:br/>
              <w:t xml:space="preserve">（带烘干)</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val="false"/>
          </w:tcPr>
          <w:p>
            <w:pPr>
              <w:rPr>
                <w:rFonts w:hint="eastAsia"/>
                <w:sz w:val="20"/>
                <w:szCs w:val="20"/>
              </w:rPr>
            </w:pPr>
            <w:r>
              <w:rPr>
                <w:rFonts w:hint="eastAsia"/>
                <w:sz w:val="20"/>
                <w:szCs w:val="20"/>
              </w:rPr>
              <w:t xml:space="preserve">5350*914*1980</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1、洗涤能力：≥6400碟/H（8寸碟）；</w:t>
            </w:r>
            <w:r>
              <w:rPr>
                <w:rFonts w:hint="eastAsia"/>
                <w:sz w:val="20"/>
                <w:szCs w:val="20"/>
              </w:rPr>
              <w:br/>
              <w:t xml:space="preserve">2、最大耗水量：≤270L/H；</w:t>
            </w:r>
            <w:r>
              <w:rPr>
                <w:rFonts w:hint="eastAsia"/>
                <w:sz w:val="20"/>
                <w:szCs w:val="20"/>
              </w:rPr>
              <w:br/>
              <w:t xml:space="preserve">3、总功率：≥59.9KW；                                                                    </w:t>
            </w:r>
            <w:r>
              <w:rPr>
                <w:rFonts w:hint="eastAsia"/>
                <w:sz w:val="20"/>
                <w:szCs w:val="20"/>
              </w:rPr>
              <w:br/>
              <w:t xml:space="preserve">4、机械式控制面板，操作简单；                                                             </w:t>
            </w:r>
            <w:r>
              <w:rPr>
                <w:rFonts w:hint="eastAsia"/>
                <w:sz w:val="20"/>
                <w:szCs w:val="20"/>
              </w:rPr>
              <w:br/>
              <w:t xml:space="preserve">5、直插式清洗臂设计，拆装更便捷；</w:t>
            </w:r>
            <w:r>
              <w:rPr>
                <w:rFonts w:hint="eastAsia"/>
                <w:sz w:val="20"/>
                <w:szCs w:val="20"/>
              </w:rPr>
              <w:br/>
              <w:t xml:space="preserve">6、变频传动控制设计，具有柔性启动功能；</w:t>
            </w:r>
            <w:r>
              <w:rPr>
                <w:rFonts w:hint="eastAsia"/>
                <w:sz w:val="20"/>
                <w:szCs w:val="20"/>
              </w:rPr>
              <w:br/>
              <w:t xml:space="preserve">7、水箱及加热包防干烧设计，安全可靠；</w:t>
            </w:r>
            <w:r>
              <w:rPr>
                <w:rFonts w:hint="eastAsia"/>
                <w:sz w:val="20"/>
                <w:szCs w:val="20"/>
              </w:rPr>
              <w:br/>
              <w:t xml:space="preserve">8、灵活的模块化组合设计，满足不同的洗涤需求；</w:t>
            </w:r>
            <w:r>
              <w:rPr>
                <w:rFonts w:hint="eastAsia"/>
                <w:sz w:val="20"/>
                <w:szCs w:val="20"/>
              </w:rPr>
              <w:br/>
              <w:t xml:space="preserve">9、内置卷簧门和挂钩，双重保护操作人员的安全；</w:t>
            </w:r>
            <w:r>
              <w:rPr>
                <w:rFonts w:hint="eastAsia"/>
                <w:sz w:val="20"/>
                <w:szCs w:val="20"/>
              </w:rPr>
              <w:br/>
              <w:t xml:space="preserve">10、进出口双齿轮设计， 最大限度降低链</w:t>
            </w:r>
            <w:r>
              <w:rPr>
                <w:rFonts w:hint="eastAsia"/>
                <w:sz w:val="20"/>
                <w:szCs w:val="20"/>
              </w:rPr>
              <w:t xml:space="preserve">排的磨损；</w:t>
            </w:r>
            <w:r>
              <w:rPr>
                <w:rFonts w:hint="eastAsia"/>
                <w:sz w:val="20"/>
                <w:szCs w:val="20"/>
              </w:rPr>
              <w:br/>
              <w:t xml:space="preserve">11、电箱置于机器顶部，节省空间，方便操作和维护；</w:t>
            </w:r>
            <w:r>
              <w:rPr>
                <w:rFonts w:hint="eastAsia"/>
                <w:sz w:val="20"/>
                <w:szCs w:val="20"/>
              </w:rPr>
              <w:br/>
              <w:t xml:space="preserve">12、内循环环绕热风烘干设计，增加侧出风口，干燥效果更佳。</w:t>
            </w:r>
            <w:r/>
          </w:p>
        </w:tc>
        <w:tc>
          <w:tcPr>
            <w:tcBorders>
              <w:top w:val="none" w:color="000000" w:sz="4" w:space="0"/>
              <w:left w:val="none" w:color="000000" w:sz="4" w:space="0"/>
              <w:bottom w:val="single" w:color="auto" w:sz="4" w:space="0"/>
              <w:right w:val="single" w:color="auto"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31" w:type="dxa"/>
            <w:vAlign w:val="center"/>
            <w:textDirection w:val="lrTb"/>
            <w:noWrap/>
          </w:tcPr>
          <w:p>
            <w:pPr>
              <w:jc w:val="center"/>
              <w:rPr>
                <w:rFonts w:hint="eastAsia"/>
                <w:sz w:val="20"/>
                <w:szCs w:val="20"/>
              </w:rPr>
            </w:pPr>
            <w:r>
              <w:rPr>
                <w:rFonts w:hint="eastAsia"/>
                <w:sz w:val="20"/>
                <w:szCs w:val="20"/>
              </w:rPr>
              <w:t xml:space="preserve">2</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130</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小件投掷柜1</w:t>
            </w: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tcPr>
          <w:p>
            <w:pPr>
              <w:rPr>
                <w:rFonts w:hint="eastAsia"/>
                <w:sz w:val="20"/>
                <w:szCs w:val="20"/>
              </w:rPr>
            </w:pPr>
            <w:r>
              <w:rPr>
                <w:rFonts w:hint="eastAsia"/>
                <w:sz w:val="20"/>
                <w:szCs w:val="20"/>
              </w:rPr>
              <w:t xml:space="preserve">6200*250*880</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1、台面:采用SUS304 ≥1.5mm不锈钢板；</w:t>
            </w:r>
            <w:r>
              <w:rPr>
                <w:rFonts w:hint="eastAsia"/>
                <w:sz w:val="20"/>
                <w:szCs w:val="20"/>
              </w:rPr>
              <w:br/>
              <w:t xml:space="preserve">2、侧板：采用SUS304 ≥1.2mm不锈钢板；</w:t>
            </w:r>
            <w:r>
              <w:rPr>
                <w:rFonts w:hint="eastAsia"/>
                <w:sz w:val="20"/>
                <w:szCs w:val="20"/>
              </w:rPr>
              <w:br/>
              <w:t xml:space="preserve">3、门：采用SUS304 ≥1.2mm双层不锈钢板；</w:t>
            </w:r>
            <w:r>
              <w:rPr>
                <w:rFonts w:hint="eastAsia"/>
                <w:sz w:val="20"/>
                <w:szCs w:val="20"/>
              </w:rPr>
              <w:br/>
              <w:t xml:space="preserve">4、加强筋：采用SUS304 ≥1.2mm不锈钢板；</w:t>
            </w:r>
            <w:r>
              <w:rPr>
                <w:rFonts w:hint="eastAsia"/>
                <w:sz w:val="20"/>
                <w:szCs w:val="20"/>
              </w:rPr>
              <w:br/>
              <w:t xml:space="preserve">5、不锈钢可调重型脚。</w:t>
            </w:r>
            <w:r/>
          </w:p>
        </w:tc>
        <w:tc>
          <w:tcPr>
            <w:tcBorders>
              <w:top w:val="none" w:color="000000" w:sz="4" w:space="0"/>
              <w:left w:val="none" w:color="000000" w:sz="4" w:space="0"/>
              <w:bottom w:val="single" w:color="auto" w:sz="4" w:space="0"/>
              <w:right w:val="single" w:color="auto" w:sz="4" w:space="0"/>
            </w:tcBorders>
            <w:tcW w:w="680" w:type="dxa"/>
            <w:vAlign w:val="center"/>
            <w:textDirection w:val="lrTb"/>
            <w:noWrap/>
          </w:tcPr>
          <w:p>
            <w:pPr>
              <w:jc w:val="center"/>
              <w:rPr>
                <w:rFonts w:hint="eastAsia"/>
                <w:sz w:val="20"/>
                <w:szCs w:val="20"/>
              </w:rPr>
            </w:pPr>
            <w:r>
              <w:rPr>
                <w:rFonts w:hint="eastAsia"/>
                <w:sz w:val="20"/>
                <w:szCs w:val="20"/>
              </w:rPr>
              <w:t xml:space="preserve">套</w:t>
            </w:r>
            <w:r/>
          </w:p>
        </w:tc>
        <w:tc>
          <w:tcPr>
            <w:tcBorders>
              <w:top w:val="none" w:color="000000" w:sz="4" w:space="0"/>
              <w:left w:val="none" w:color="000000" w:sz="4" w:space="0"/>
              <w:bottom w:val="single" w:color="auto" w:sz="4" w:space="0"/>
              <w:right w:val="single" w:color="auto" w:sz="4" w:space="0"/>
            </w:tcBorders>
            <w:tcW w:w="631" w:type="dxa"/>
            <w:vAlign w:val="center"/>
            <w:textDirection w:val="lrTb"/>
            <w:noWrap/>
          </w:tcPr>
          <w:p>
            <w:pPr>
              <w:jc w:val="center"/>
              <w:rPr>
                <w:rFonts w:hint="eastAsia"/>
                <w:sz w:val="20"/>
                <w:szCs w:val="20"/>
              </w:rPr>
            </w:pPr>
            <w:r>
              <w:rPr>
                <w:rFonts w:hint="eastAsia"/>
                <w:sz w:val="20"/>
                <w:szCs w:val="20"/>
              </w:rPr>
              <w:t xml:space="preserve">1</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131</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小件投掷柜2</w:t>
            </w: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tcPr>
          <w:p>
            <w:pPr>
              <w:rPr>
                <w:rFonts w:hint="eastAsia"/>
                <w:sz w:val="20"/>
                <w:szCs w:val="20"/>
              </w:rPr>
            </w:pPr>
            <w:r>
              <w:rPr>
                <w:rFonts w:hint="eastAsia"/>
                <w:sz w:val="20"/>
                <w:szCs w:val="20"/>
              </w:rPr>
              <w:t xml:space="preserve">9100*250*880</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1、台面:采用SUS304 ≥1.5mm不锈钢板；</w:t>
            </w:r>
            <w:r>
              <w:rPr>
                <w:rFonts w:hint="eastAsia"/>
                <w:sz w:val="20"/>
                <w:szCs w:val="20"/>
              </w:rPr>
              <w:br/>
              <w:t xml:space="preserve">2、侧板：采用SUS304 ≥1.2mm不锈钢板；</w:t>
            </w:r>
            <w:r>
              <w:rPr>
                <w:rFonts w:hint="eastAsia"/>
                <w:sz w:val="20"/>
                <w:szCs w:val="20"/>
              </w:rPr>
              <w:br/>
              <w:t xml:space="preserve">3、门：采用SUS304 ≥1.2mm双层不锈钢板；</w:t>
            </w:r>
            <w:r>
              <w:rPr>
                <w:rFonts w:hint="eastAsia"/>
                <w:sz w:val="20"/>
                <w:szCs w:val="20"/>
              </w:rPr>
              <w:br/>
              <w:t xml:space="preserve">4、加强筋：采用SUS304 ≥1.2mm不锈钢板；</w:t>
            </w:r>
            <w:r>
              <w:rPr>
                <w:rFonts w:hint="eastAsia"/>
                <w:sz w:val="20"/>
                <w:szCs w:val="20"/>
              </w:rPr>
              <w:br/>
              <w:t xml:space="preserve">5、不锈钢可调重型脚。</w:t>
            </w:r>
            <w:r/>
          </w:p>
        </w:tc>
        <w:tc>
          <w:tcPr>
            <w:tcBorders>
              <w:top w:val="none" w:color="000000" w:sz="4" w:space="0"/>
              <w:left w:val="none" w:color="000000" w:sz="4" w:space="0"/>
              <w:bottom w:val="single" w:color="auto" w:sz="4" w:space="0"/>
              <w:right w:val="single" w:color="auto" w:sz="4" w:space="0"/>
            </w:tcBorders>
            <w:tcW w:w="680" w:type="dxa"/>
            <w:vAlign w:val="center"/>
            <w:textDirection w:val="lrTb"/>
            <w:noWrap/>
          </w:tcPr>
          <w:p>
            <w:pPr>
              <w:jc w:val="center"/>
              <w:rPr>
                <w:rFonts w:hint="eastAsia"/>
                <w:sz w:val="20"/>
                <w:szCs w:val="20"/>
              </w:rPr>
            </w:pPr>
            <w:r>
              <w:rPr>
                <w:rFonts w:hint="eastAsia"/>
                <w:sz w:val="20"/>
                <w:szCs w:val="20"/>
              </w:rPr>
              <w:t xml:space="preserve">套</w:t>
            </w:r>
            <w:r/>
          </w:p>
        </w:tc>
        <w:tc>
          <w:tcPr>
            <w:tcBorders>
              <w:top w:val="none" w:color="000000" w:sz="4" w:space="0"/>
              <w:left w:val="none" w:color="000000" w:sz="4" w:space="0"/>
              <w:bottom w:val="single" w:color="auto" w:sz="4" w:space="0"/>
              <w:right w:val="single" w:color="auto" w:sz="4" w:space="0"/>
            </w:tcBorders>
            <w:tcW w:w="631" w:type="dxa"/>
            <w:vAlign w:val="center"/>
            <w:textDirection w:val="lrTb"/>
            <w:noWrap/>
          </w:tcPr>
          <w:p>
            <w:pPr>
              <w:jc w:val="center"/>
              <w:rPr>
                <w:rFonts w:hint="eastAsia"/>
                <w:sz w:val="20"/>
                <w:szCs w:val="20"/>
              </w:rPr>
            </w:pPr>
            <w:r>
              <w:rPr>
                <w:rFonts w:hint="eastAsia"/>
                <w:sz w:val="20"/>
                <w:szCs w:val="20"/>
              </w:rPr>
              <w:t xml:space="preserve">1</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132</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抽气罩</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800*800*500</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罩体采用SUS304 ≥1.2mm不锈钢板；带安装材料。</w:t>
            </w:r>
            <w:r/>
          </w:p>
        </w:tc>
        <w:tc>
          <w:tcPr>
            <w:tcBorders>
              <w:top w:val="none" w:color="000000" w:sz="4" w:space="0"/>
              <w:left w:val="none" w:color="000000" w:sz="4" w:space="0"/>
              <w:bottom w:val="single" w:color="auto" w:sz="4" w:space="0"/>
              <w:right w:val="single" w:color="auto"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31" w:type="dxa"/>
            <w:vAlign w:val="center"/>
            <w:textDirection w:val="lrTb"/>
            <w:noWrap/>
          </w:tcPr>
          <w:p>
            <w:pPr>
              <w:jc w:val="center"/>
              <w:rPr>
                <w:rFonts w:hint="eastAsia"/>
                <w:sz w:val="20"/>
                <w:szCs w:val="20"/>
              </w:rPr>
            </w:pPr>
            <w:r>
              <w:rPr>
                <w:rFonts w:hint="eastAsia"/>
                <w:sz w:val="20"/>
                <w:szCs w:val="20"/>
              </w:rPr>
              <w:t xml:space="preserve">2</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133</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牛角抽气罩</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600*350*660</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罩体采用SUS304 ≥1.2mm不锈钢板；带安装材料。</w:t>
            </w:r>
            <w:r/>
          </w:p>
        </w:tc>
        <w:tc>
          <w:tcPr>
            <w:tcBorders>
              <w:top w:val="none" w:color="000000" w:sz="4" w:space="0"/>
              <w:left w:val="none" w:color="000000" w:sz="4" w:space="0"/>
              <w:bottom w:val="single" w:color="auto" w:sz="4" w:space="0"/>
              <w:right w:val="single" w:color="auto"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31" w:type="dxa"/>
            <w:vAlign w:val="center"/>
            <w:textDirection w:val="lrTb"/>
            <w:noWrap/>
          </w:tcPr>
          <w:p>
            <w:pPr>
              <w:jc w:val="center"/>
              <w:rPr>
                <w:rFonts w:hint="eastAsia"/>
                <w:sz w:val="20"/>
                <w:szCs w:val="20"/>
              </w:rPr>
            </w:pPr>
            <w:r>
              <w:rPr>
                <w:rFonts w:hint="eastAsia"/>
                <w:sz w:val="20"/>
                <w:szCs w:val="20"/>
              </w:rPr>
              <w:t xml:space="preserve">4</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134</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集气罩</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7200*1200*500</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罩体采用SUS304 ≥1.2mm不锈钢板；带安装材料。</w:t>
            </w:r>
            <w:r/>
          </w:p>
        </w:tc>
        <w:tc>
          <w:tcPr>
            <w:tcBorders>
              <w:top w:val="none" w:color="000000" w:sz="4" w:space="0"/>
              <w:left w:val="none" w:color="000000" w:sz="4" w:space="0"/>
              <w:bottom w:val="single" w:color="auto" w:sz="4" w:space="0"/>
              <w:right w:val="single" w:color="auto" w:sz="4" w:space="0"/>
            </w:tcBorders>
            <w:tcW w:w="680" w:type="dxa"/>
            <w:vAlign w:val="center"/>
            <w:textDirection w:val="lrTb"/>
            <w:noWrap/>
          </w:tcPr>
          <w:p>
            <w:pPr>
              <w:jc w:val="center"/>
              <w:rPr>
                <w:rFonts w:hint="eastAsia"/>
                <w:sz w:val="20"/>
                <w:szCs w:val="20"/>
              </w:rPr>
            </w:pPr>
            <w:r>
              <w:rPr>
                <w:rFonts w:hint="eastAsia"/>
                <w:sz w:val="20"/>
                <w:szCs w:val="20"/>
              </w:rPr>
              <w:t xml:space="preserve">㎡</w:t>
            </w:r>
            <w:r/>
          </w:p>
        </w:tc>
        <w:tc>
          <w:tcPr>
            <w:tcBorders>
              <w:top w:val="none" w:color="000000" w:sz="4" w:space="0"/>
              <w:left w:val="none" w:color="000000" w:sz="4" w:space="0"/>
              <w:bottom w:val="single" w:color="000000" w:sz="4" w:space="0"/>
              <w:right w:val="single" w:color="000000" w:sz="4" w:space="0"/>
            </w:tcBorders>
            <w:tcW w:w="631" w:type="dxa"/>
            <w:vAlign w:val="center"/>
            <w:textDirection w:val="lrTb"/>
            <w:noWrap/>
          </w:tcPr>
          <w:p>
            <w:pPr>
              <w:jc w:val="center"/>
              <w:rPr>
                <w:rFonts w:hint="eastAsia"/>
                <w:sz w:val="20"/>
                <w:szCs w:val="20"/>
              </w:rPr>
            </w:pPr>
            <w:r>
              <w:rPr>
                <w:rFonts w:hint="eastAsia"/>
                <w:sz w:val="20"/>
                <w:szCs w:val="20"/>
              </w:rPr>
              <w:t xml:space="preserve">11.5</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135</w:t>
            </w:r>
            <w:r/>
          </w:p>
        </w:tc>
        <w:tc>
          <w:tcPr>
            <w:tcBorders>
              <w:top w:val="none" w:color="000000" w:sz="4" w:space="0"/>
              <w:left w:val="none" w:color="000000" w:sz="4" w:space="0"/>
              <w:bottom w:val="single" w:color="000000" w:sz="4" w:space="0"/>
              <w:right w:val="single" w:color="000000" w:sz="4" w:space="0"/>
            </w:tcBorders>
            <w:tcW w:w="1637" w:type="dxa"/>
            <w:vAlign w:val="center"/>
            <w:textDirection w:val="lrTb"/>
            <w:noWrap/>
          </w:tcPr>
          <w:p>
            <w:pPr>
              <w:rPr>
                <w:rFonts w:hint="eastAsia"/>
                <w:sz w:val="20"/>
                <w:szCs w:val="20"/>
              </w:rPr>
            </w:pPr>
            <w:r>
              <w:rPr>
                <w:rFonts w:hint="eastAsia"/>
                <w:sz w:val="20"/>
                <w:szCs w:val="20"/>
              </w:rPr>
              <w:t xml:space="preserve">油网烟罩1</w:t>
            </w: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tcPr>
          <w:p>
            <w:pPr>
              <w:rPr>
                <w:rFonts w:hint="eastAsia"/>
                <w:sz w:val="20"/>
                <w:szCs w:val="20"/>
              </w:rPr>
            </w:pPr>
            <w:r>
              <w:rPr>
                <w:rFonts w:hint="eastAsia"/>
                <w:sz w:val="20"/>
                <w:szCs w:val="20"/>
              </w:rPr>
              <w:t xml:space="preserve">9600*1200*500</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罩体采用SUS304 ≥1.2mm不锈钢板；带安装材料；带高温防爆灯；带隔油网板。</w:t>
            </w:r>
            <w:r/>
          </w:p>
        </w:tc>
        <w:tc>
          <w:tcPr>
            <w:tcBorders>
              <w:top w:val="none" w:color="000000" w:sz="4" w:space="0"/>
              <w:left w:val="none" w:color="000000" w:sz="4" w:space="0"/>
              <w:bottom w:val="single" w:color="auto" w:sz="4" w:space="0"/>
              <w:right w:val="single" w:color="auto" w:sz="4" w:space="0"/>
            </w:tcBorders>
            <w:tcW w:w="680" w:type="dxa"/>
            <w:vAlign w:val="center"/>
            <w:textDirection w:val="lrTb"/>
            <w:noWrap/>
          </w:tcPr>
          <w:p>
            <w:pPr>
              <w:jc w:val="center"/>
              <w:rPr>
                <w:rFonts w:hint="eastAsia"/>
                <w:sz w:val="20"/>
                <w:szCs w:val="20"/>
              </w:rPr>
            </w:pPr>
            <w:r>
              <w:rPr>
                <w:rFonts w:hint="eastAsia"/>
                <w:sz w:val="20"/>
                <w:szCs w:val="20"/>
              </w:rPr>
              <w:t xml:space="preserve">㎡</w:t>
            </w:r>
            <w:r/>
          </w:p>
        </w:tc>
        <w:tc>
          <w:tcPr>
            <w:tcBorders>
              <w:top w:val="none" w:color="000000" w:sz="4" w:space="0"/>
              <w:left w:val="none" w:color="000000" w:sz="4" w:space="0"/>
              <w:bottom w:val="single" w:color="000000" w:sz="4" w:space="0"/>
              <w:right w:val="single" w:color="000000" w:sz="4" w:space="0"/>
            </w:tcBorders>
            <w:tcW w:w="631" w:type="dxa"/>
            <w:vAlign w:val="center"/>
            <w:textDirection w:val="lrTb"/>
            <w:noWrap/>
          </w:tcPr>
          <w:p>
            <w:pPr>
              <w:jc w:val="center"/>
              <w:rPr>
                <w:rFonts w:hint="eastAsia"/>
                <w:sz w:val="20"/>
                <w:szCs w:val="20"/>
              </w:rPr>
            </w:pPr>
            <w:r>
              <w:rPr>
                <w:rFonts w:hint="eastAsia"/>
                <w:sz w:val="20"/>
                <w:szCs w:val="20"/>
              </w:rPr>
              <w:t xml:space="preserve">11.5</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136</w:t>
            </w:r>
            <w:r/>
          </w:p>
        </w:tc>
        <w:tc>
          <w:tcPr>
            <w:tcBorders>
              <w:top w:val="none" w:color="000000" w:sz="4" w:space="0"/>
              <w:left w:val="none" w:color="000000" w:sz="4" w:space="0"/>
              <w:bottom w:val="single" w:color="000000" w:sz="4" w:space="0"/>
              <w:right w:val="single" w:color="000000" w:sz="4" w:space="0"/>
            </w:tcBorders>
            <w:tcW w:w="1637" w:type="dxa"/>
            <w:vAlign w:val="center"/>
            <w:textDirection w:val="lrTb"/>
            <w:noWrap/>
          </w:tcPr>
          <w:p>
            <w:pPr>
              <w:rPr>
                <w:rFonts w:hint="eastAsia"/>
                <w:sz w:val="20"/>
                <w:szCs w:val="20"/>
              </w:rPr>
            </w:pPr>
            <w:r>
              <w:rPr>
                <w:rFonts w:hint="eastAsia"/>
                <w:sz w:val="20"/>
                <w:szCs w:val="20"/>
              </w:rPr>
              <w:t xml:space="preserve">油网烟罩2</w:t>
            </w: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tcPr>
          <w:p>
            <w:pPr>
              <w:rPr>
                <w:rFonts w:hint="eastAsia"/>
                <w:sz w:val="20"/>
                <w:szCs w:val="20"/>
              </w:rPr>
            </w:pPr>
            <w:r>
              <w:rPr>
                <w:rFonts w:hint="eastAsia"/>
                <w:sz w:val="20"/>
                <w:szCs w:val="20"/>
              </w:rPr>
              <w:t xml:space="preserve">9600*1300*500</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罩体采用SUS304 ≥1.2mm不锈钢板；带安装材料；带高温防爆灯；带隔油网板。</w:t>
            </w:r>
            <w:r/>
          </w:p>
        </w:tc>
        <w:tc>
          <w:tcPr>
            <w:tcBorders>
              <w:top w:val="none" w:color="000000" w:sz="4" w:space="0"/>
              <w:left w:val="none" w:color="000000" w:sz="4" w:space="0"/>
              <w:bottom w:val="single" w:color="auto" w:sz="4" w:space="0"/>
              <w:right w:val="single" w:color="auto" w:sz="4" w:space="0"/>
            </w:tcBorders>
            <w:tcW w:w="680" w:type="dxa"/>
            <w:vAlign w:val="center"/>
            <w:textDirection w:val="lrTb"/>
            <w:noWrap/>
          </w:tcPr>
          <w:p>
            <w:pPr>
              <w:jc w:val="center"/>
              <w:rPr>
                <w:rFonts w:hint="eastAsia"/>
                <w:sz w:val="20"/>
                <w:szCs w:val="20"/>
              </w:rPr>
            </w:pPr>
            <w:r>
              <w:rPr>
                <w:rFonts w:hint="eastAsia"/>
                <w:sz w:val="20"/>
                <w:szCs w:val="20"/>
              </w:rPr>
              <w:t xml:space="preserve">㎡</w:t>
            </w:r>
            <w:r/>
          </w:p>
        </w:tc>
        <w:tc>
          <w:tcPr>
            <w:tcBorders>
              <w:top w:val="none" w:color="000000" w:sz="4" w:space="0"/>
              <w:left w:val="none" w:color="000000" w:sz="4" w:space="0"/>
              <w:bottom w:val="single" w:color="000000" w:sz="4" w:space="0"/>
              <w:right w:val="single" w:color="000000" w:sz="4" w:space="0"/>
            </w:tcBorders>
            <w:tcW w:w="631" w:type="dxa"/>
            <w:vAlign w:val="center"/>
            <w:textDirection w:val="lrTb"/>
            <w:noWrap/>
          </w:tcPr>
          <w:p>
            <w:pPr>
              <w:jc w:val="center"/>
              <w:rPr>
                <w:rFonts w:hint="eastAsia"/>
                <w:sz w:val="20"/>
                <w:szCs w:val="20"/>
              </w:rPr>
            </w:pPr>
            <w:r>
              <w:rPr>
                <w:rFonts w:hint="eastAsia"/>
                <w:sz w:val="20"/>
                <w:szCs w:val="20"/>
              </w:rPr>
              <w:t xml:space="preserve">12.5</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137</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val="false"/>
          </w:tcPr>
          <w:p>
            <w:pPr>
              <w:rPr>
                <w:rFonts w:hint="eastAsia"/>
                <w:sz w:val="20"/>
                <w:szCs w:val="20"/>
              </w:rPr>
            </w:pPr>
            <w:r>
              <w:rPr>
                <w:rFonts w:hint="eastAsia"/>
                <w:sz w:val="20"/>
                <w:szCs w:val="20"/>
              </w:rPr>
              <w:t xml:space="preserve">油网烟罩连弥散新风1</w:t>
            </w: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tcPr>
          <w:p>
            <w:pPr>
              <w:rPr>
                <w:rFonts w:hint="eastAsia"/>
                <w:sz w:val="20"/>
                <w:szCs w:val="20"/>
              </w:rPr>
            </w:pPr>
            <w:r>
              <w:rPr>
                <w:rFonts w:hint="eastAsia"/>
                <w:sz w:val="20"/>
                <w:szCs w:val="20"/>
              </w:rPr>
              <w:t xml:space="preserve">14000*1550*500</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1、烟罩主体材质采用304不锈钢制作，板厚≥1.2mm，板材经油膜拉丝工艺处理；</w:t>
            </w:r>
            <w:r>
              <w:rPr>
                <w:rFonts w:hint="eastAsia"/>
                <w:sz w:val="20"/>
                <w:szCs w:val="20"/>
              </w:rPr>
              <w:br/>
              <w:t xml:space="preserve">2、配备新风面板，可以对厨房补充新风，新风口设置有蜂窝过滤板，过滤新风中可能存在有的灰尘颗粒；</w:t>
            </w:r>
            <w:r>
              <w:rPr>
                <w:rFonts w:hint="eastAsia"/>
                <w:sz w:val="20"/>
                <w:szCs w:val="20"/>
              </w:rPr>
              <w:br/>
            </w:r>
            <w:r>
              <w:rPr>
                <w:rFonts w:hint="eastAsia"/>
                <w:sz w:val="20"/>
                <w:szCs w:val="20"/>
              </w:rPr>
              <w:t xml:space="preserve">3、在烟罩四周制造风幕，防止油烟外溢；</w:t>
            </w:r>
            <w:r>
              <w:rPr>
                <w:rFonts w:hint="eastAsia"/>
                <w:sz w:val="20"/>
                <w:szCs w:val="20"/>
              </w:rPr>
              <w:br/>
              <w:t xml:space="preserve">4、配备LED照明灯具，以及钢化玻璃防尘罩；</w:t>
            </w:r>
            <w:r>
              <w:rPr>
                <w:rFonts w:hint="eastAsia"/>
                <w:sz w:val="20"/>
                <w:szCs w:val="20"/>
              </w:rPr>
              <w:br/>
              <w:t xml:space="preserve">5、烟罩风口配备有风量调节阀。</w:t>
            </w:r>
            <w:r/>
          </w:p>
        </w:tc>
        <w:tc>
          <w:tcPr>
            <w:tcBorders>
              <w:top w:val="none" w:color="000000" w:sz="4" w:space="0"/>
              <w:left w:val="none" w:color="000000" w:sz="4" w:space="0"/>
              <w:bottom w:val="single" w:color="auto" w:sz="4" w:space="0"/>
              <w:right w:val="single" w:color="auto" w:sz="4" w:space="0"/>
            </w:tcBorders>
            <w:tcW w:w="680" w:type="dxa"/>
            <w:vAlign w:val="center"/>
            <w:textDirection w:val="lrTb"/>
            <w:noWrap/>
          </w:tcPr>
          <w:p>
            <w:pPr>
              <w:jc w:val="center"/>
              <w:rPr>
                <w:rFonts w:hint="eastAsia"/>
                <w:sz w:val="20"/>
                <w:szCs w:val="20"/>
              </w:rPr>
            </w:pPr>
            <w:r>
              <w:rPr>
                <w:rFonts w:hint="eastAsia"/>
                <w:sz w:val="20"/>
                <w:szCs w:val="20"/>
              </w:rPr>
              <w:t xml:space="preserve">㎡</w:t>
            </w:r>
            <w:r/>
          </w:p>
        </w:tc>
        <w:tc>
          <w:tcPr>
            <w:tcBorders>
              <w:top w:val="none" w:color="000000" w:sz="4" w:space="0"/>
              <w:left w:val="none" w:color="000000" w:sz="4" w:space="0"/>
              <w:bottom w:val="single" w:color="auto" w:sz="4" w:space="0"/>
              <w:right w:val="single" w:color="auto" w:sz="4" w:space="0"/>
            </w:tcBorders>
            <w:tcW w:w="631" w:type="dxa"/>
            <w:vAlign w:val="center"/>
            <w:textDirection w:val="lrTb"/>
            <w:noWrap/>
          </w:tcPr>
          <w:p>
            <w:pPr>
              <w:jc w:val="center"/>
              <w:rPr>
                <w:rFonts w:hint="eastAsia"/>
                <w:sz w:val="20"/>
                <w:szCs w:val="20"/>
              </w:rPr>
            </w:pPr>
            <w:r>
              <w:rPr>
                <w:rFonts w:hint="eastAsia"/>
                <w:sz w:val="20"/>
                <w:szCs w:val="20"/>
              </w:rPr>
              <w:t xml:space="preserve">43.4</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138</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val="false"/>
          </w:tcPr>
          <w:p>
            <w:pPr>
              <w:rPr>
                <w:rFonts w:hint="eastAsia"/>
                <w:sz w:val="20"/>
                <w:szCs w:val="20"/>
              </w:rPr>
            </w:pPr>
            <w:r>
              <w:rPr>
                <w:rFonts w:hint="eastAsia"/>
                <w:sz w:val="20"/>
                <w:szCs w:val="20"/>
              </w:rPr>
              <w:t xml:space="preserve">油网烟罩连弥散新风2</w:t>
            </w: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val="false"/>
          </w:tcPr>
          <w:p>
            <w:pPr>
              <w:rPr>
                <w:rFonts w:hint="eastAsia"/>
                <w:sz w:val="20"/>
                <w:szCs w:val="20"/>
              </w:rPr>
            </w:pPr>
            <w:r>
              <w:rPr>
                <w:rFonts w:hint="eastAsia"/>
                <w:sz w:val="20"/>
                <w:szCs w:val="20"/>
              </w:rPr>
              <w:t xml:space="preserve">5100*1450*500*2组</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1、烟罩主体材质采用304不锈钢制作，板厚≥1.2mm，板材经油膜拉丝工艺处理；</w:t>
            </w:r>
            <w:r>
              <w:rPr>
                <w:rFonts w:hint="eastAsia"/>
                <w:sz w:val="20"/>
                <w:szCs w:val="20"/>
              </w:rPr>
              <w:br/>
              <w:t xml:space="preserve">2、配备新风面板，可以对厨房补充新风，新风口设置有蜂窝过滤板，过滤新风中可能存在有的灰尘颗粒；</w:t>
            </w:r>
            <w:r>
              <w:rPr>
                <w:rFonts w:hint="eastAsia"/>
                <w:sz w:val="20"/>
                <w:szCs w:val="20"/>
              </w:rPr>
              <w:br/>
              <w:t xml:space="preserve">3、在烟罩四周制造风幕，防止油烟外溢；</w:t>
            </w:r>
            <w:r>
              <w:rPr>
                <w:rFonts w:hint="eastAsia"/>
                <w:sz w:val="20"/>
                <w:szCs w:val="20"/>
              </w:rPr>
              <w:br/>
              <w:t xml:space="preserve">4、配备LED照明灯具，以及钢化玻璃防尘罩；</w:t>
            </w:r>
            <w:r>
              <w:rPr>
                <w:rFonts w:hint="eastAsia"/>
                <w:sz w:val="20"/>
                <w:szCs w:val="20"/>
              </w:rPr>
              <w:br/>
              <w:t xml:space="preserve">5、烟罩风口配备有风量调节阀。</w:t>
            </w:r>
            <w:r/>
          </w:p>
        </w:tc>
        <w:tc>
          <w:tcPr>
            <w:tcBorders>
              <w:top w:val="none" w:color="000000" w:sz="4" w:space="0"/>
              <w:left w:val="none" w:color="000000" w:sz="4" w:space="0"/>
              <w:bottom w:val="single" w:color="auto" w:sz="4" w:space="0"/>
              <w:right w:val="single" w:color="auto" w:sz="4" w:space="0"/>
            </w:tcBorders>
            <w:tcW w:w="680" w:type="dxa"/>
            <w:vAlign w:val="center"/>
            <w:textDirection w:val="lrTb"/>
            <w:noWrap/>
          </w:tcPr>
          <w:p>
            <w:pPr>
              <w:jc w:val="center"/>
              <w:rPr>
                <w:rFonts w:hint="eastAsia"/>
                <w:sz w:val="20"/>
                <w:szCs w:val="20"/>
              </w:rPr>
            </w:pPr>
            <w:r>
              <w:rPr>
                <w:rFonts w:hint="eastAsia"/>
                <w:sz w:val="20"/>
                <w:szCs w:val="20"/>
              </w:rPr>
              <w:t xml:space="preserve">㎡</w:t>
            </w:r>
            <w:r/>
          </w:p>
        </w:tc>
        <w:tc>
          <w:tcPr>
            <w:tcBorders>
              <w:top w:val="none" w:color="000000" w:sz="4" w:space="0"/>
              <w:left w:val="none" w:color="000000" w:sz="4" w:space="0"/>
              <w:bottom w:val="single" w:color="000000" w:sz="4" w:space="0"/>
              <w:right w:val="single" w:color="000000" w:sz="4" w:space="0"/>
            </w:tcBorders>
            <w:tcW w:w="631" w:type="dxa"/>
            <w:vAlign w:val="center"/>
            <w:textDirection w:val="lrTb"/>
            <w:noWrap/>
          </w:tcPr>
          <w:p>
            <w:pPr>
              <w:jc w:val="center"/>
              <w:rPr>
                <w:rFonts w:hint="eastAsia"/>
                <w:sz w:val="20"/>
                <w:szCs w:val="20"/>
              </w:rPr>
            </w:pPr>
            <w:r>
              <w:rPr>
                <w:rFonts w:hint="eastAsia"/>
                <w:sz w:val="20"/>
                <w:szCs w:val="20"/>
              </w:rPr>
              <w:t xml:space="preserve">15</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139</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val="false"/>
          </w:tcPr>
          <w:p>
            <w:pPr>
              <w:rPr>
                <w:rFonts w:hint="eastAsia"/>
                <w:sz w:val="20"/>
                <w:szCs w:val="20"/>
              </w:rPr>
            </w:pPr>
            <w:r>
              <w:rPr>
                <w:rFonts w:hint="eastAsia"/>
                <w:sz w:val="20"/>
                <w:szCs w:val="20"/>
              </w:rPr>
              <w:t xml:space="preserve">油网烟罩连弥散新风3</w:t>
            </w: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val="false"/>
          </w:tcPr>
          <w:p>
            <w:pPr>
              <w:rPr>
                <w:rFonts w:hint="eastAsia"/>
                <w:sz w:val="20"/>
                <w:szCs w:val="20"/>
              </w:rPr>
            </w:pPr>
            <w:r>
              <w:rPr>
                <w:rFonts w:hint="eastAsia"/>
                <w:sz w:val="20"/>
                <w:szCs w:val="20"/>
              </w:rPr>
              <w:t xml:space="preserve">5500*1450*500*13组</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1、烟罩主体材质采用304不锈钢制作，板厚≥1.2mm，板材经油膜拉丝工艺处理；</w:t>
            </w:r>
            <w:r>
              <w:rPr>
                <w:rFonts w:hint="eastAsia"/>
                <w:sz w:val="20"/>
                <w:szCs w:val="20"/>
              </w:rPr>
              <w:br/>
              <w:t xml:space="preserve">2、配备新风面板，可以对厨房补充新风，新风口设置有蜂窝过滤板，过滤新风中可能存在有的灰尘颗粒；</w:t>
            </w:r>
            <w:r>
              <w:rPr>
                <w:rFonts w:hint="eastAsia"/>
                <w:sz w:val="20"/>
                <w:szCs w:val="20"/>
              </w:rPr>
              <w:br/>
              <w:t xml:space="preserve">3、在烟罩四周制造风幕，防止油烟外溢；</w:t>
            </w:r>
            <w:r>
              <w:rPr>
                <w:rFonts w:hint="eastAsia"/>
                <w:sz w:val="20"/>
                <w:szCs w:val="20"/>
              </w:rPr>
              <w:br/>
              <w:t xml:space="preserve">4、配备LED照明灯具，以及钢化玻璃防尘罩；</w:t>
            </w:r>
            <w:r>
              <w:rPr>
                <w:rFonts w:hint="eastAsia"/>
                <w:sz w:val="20"/>
                <w:szCs w:val="20"/>
              </w:rPr>
              <w:br/>
              <w:t xml:space="preserve">5、烟罩风口配备有风量调节阀。</w:t>
            </w:r>
            <w:r/>
          </w:p>
        </w:tc>
        <w:tc>
          <w:tcPr>
            <w:tcBorders>
              <w:top w:val="none" w:color="000000" w:sz="4" w:space="0"/>
              <w:left w:val="none" w:color="000000" w:sz="4" w:space="0"/>
              <w:bottom w:val="single" w:color="auto" w:sz="4" w:space="0"/>
              <w:right w:val="single" w:color="auto" w:sz="4" w:space="0"/>
            </w:tcBorders>
            <w:tcW w:w="680" w:type="dxa"/>
            <w:vAlign w:val="center"/>
            <w:textDirection w:val="lrTb"/>
            <w:noWrap/>
          </w:tcPr>
          <w:p>
            <w:pPr>
              <w:jc w:val="center"/>
              <w:rPr>
                <w:rFonts w:hint="eastAsia"/>
                <w:sz w:val="20"/>
                <w:szCs w:val="20"/>
              </w:rPr>
            </w:pPr>
            <w:r>
              <w:rPr>
                <w:rFonts w:hint="eastAsia"/>
                <w:sz w:val="20"/>
                <w:szCs w:val="20"/>
              </w:rPr>
              <w:t xml:space="preserve">㎡</w:t>
            </w:r>
            <w:r/>
          </w:p>
        </w:tc>
        <w:tc>
          <w:tcPr>
            <w:tcBorders>
              <w:top w:val="none" w:color="000000" w:sz="4" w:space="0"/>
              <w:left w:val="none" w:color="000000" w:sz="4" w:space="0"/>
              <w:bottom w:val="single" w:color="000000" w:sz="4" w:space="0"/>
              <w:right w:val="single" w:color="000000" w:sz="4" w:space="0"/>
            </w:tcBorders>
            <w:tcW w:w="631" w:type="dxa"/>
            <w:vAlign w:val="center"/>
            <w:textDirection w:val="lrTb"/>
            <w:noWrap/>
          </w:tcPr>
          <w:p>
            <w:pPr>
              <w:jc w:val="center"/>
              <w:rPr>
                <w:rFonts w:hint="eastAsia"/>
                <w:sz w:val="20"/>
                <w:szCs w:val="20"/>
              </w:rPr>
            </w:pPr>
            <w:r>
              <w:rPr>
                <w:rFonts w:hint="eastAsia"/>
                <w:sz w:val="20"/>
                <w:szCs w:val="20"/>
              </w:rPr>
              <w:t xml:space="preserve">104</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140</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val="false"/>
          </w:tcPr>
          <w:p>
            <w:pPr>
              <w:rPr>
                <w:rFonts w:hint="eastAsia"/>
                <w:sz w:val="20"/>
                <w:szCs w:val="20"/>
              </w:rPr>
            </w:pPr>
            <w:r>
              <w:rPr>
                <w:rFonts w:hint="eastAsia"/>
                <w:sz w:val="20"/>
                <w:szCs w:val="20"/>
              </w:rPr>
              <w:t xml:space="preserve">圆带式餐盘传送机1</w:t>
            </w:r>
            <w:r>
              <w:rPr>
                <w:rFonts w:hint="eastAsia"/>
                <w:sz w:val="20"/>
                <w:szCs w:val="20"/>
              </w:rPr>
              <w:br/>
              <w:t xml:space="preserve">（含转角）</w:t>
            </w: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tcPr>
          <w:p>
            <w:pPr>
              <w:rPr>
                <w:rFonts w:hint="eastAsia"/>
                <w:sz w:val="20"/>
                <w:szCs w:val="20"/>
              </w:rPr>
            </w:pPr>
            <w:r>
              <w:rPr>
                <w:rFonts w:hint="eastAsia"/>
                <w:sz w:val="20"/>
                <w:szCs w:val="20"/>
              </w:rPr>
              <w:t xml:space="preserve">13800*480*880</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1、产品功能：通过圆带传送餐具，提高餐具回收效率，高效省时省力；</w:t>
            </w:r>
            <w:r>
              <w:rPr>
                <w:rFonts w:hint="eastAsia"/>
                <w:sz w:val="20"/>
                <w:szCs w:val="20"/>
              </w:rPr>
              <w:br/>
              <w:t xml:space="preserve">2、总功率：≥1KW；</w:t>
            </w:r>
            <w:r>
              <w:rPr>
                <w:rFonts w:hint="eastAsia"/>
                <w:sz w:val="20"/>
                <w:szCs w:val="20"/>
              </w:rPr>
              <w:br/>
              <w:t xml:space="preserve">3、传送速度：5～20m/min；</w:t>
            </w:r>
            <w:r>
              <w:rPr>
                <w:rFonts w:hint="eastAsia"/>
                <w:sz w:val="20"/>
                <w:szCs w:val="20"/>
              </w:rPr>
              <w:br/>
              <w:t xml:space="preserve">4、两条平行的圆带通过PP驱动轮带动平底托盘在不锈钢台面滑动，从而实现平底托盘直线、水平转弯以及带爬坡传送设计，传送过程无噪音；</w:t>
            </w:r>
            <w:r>
              <w:rPr>
                <w:rFonts w:hint="eastAsia"/>
                <w:sz w:val="20"/>
                <w:szCs w:val="20"/>
              </w:rPr>
              <w:br/>
              <w:t xml:space="preserve">5、配置≥</w:t>
            </w:r>
            <w:r>
              <w:rPr>
                <w:rFonts w:ascii="Calibri" w:hAnsi="Calibri" w:cs="Calibri"/>
                <w:sz w:val="20"/>
                <w:szCs w:val="20"/>
              </w:rPr>
              <w:t xml:space="preserve">φ</w:t>
            </w:r>
            <w:r>
              <w:rPr>
                <w:rFonts w:hint="eastAsia"/>
                <w:sz w:val="20"/>
                <w:szCs w:val="20"/>
              </w:rPr>
              <w:t xml:space="preserve">18mm聚氨酯圆带，内嵌加强芯，拉断力＞3000N，更经久耐用；</w:t>
            </w:r>
            <w:r>
              <w:rPr>
                <w:rFonts w:hint="eastAsia"/>
                <w:sz w:val="20"/>
                <w:szCs w:val="20"/>
              </w:rPr>
              <w:br/>
              <w:t xml:space="preserve">6、内置减速电机和变频器，具有无极变频调速，柔性启动功能；                                                 </w:t>
            </w:r>
            <w:r>
              <w:rPr>
                <w:rFonts w:hint="eastAsia"/>
                <w:sz w:val="20"/>
                <w:szCs w:val="20"/>
              </w:rPr>
              <w:br/>
              <w:t xml:space="preserve">7、采用不锈钢材质的托盘导向护边，台面内置残渣篮，清洁方便；</w:t>
            </w:r>
            <w:r>
              <w:rPr>
                <w:rFonts w:hint="eastAsia"/>
                <w:sz w:val="20"/>
                <w:szCs w:val="20"/>
              </w:rPr>
              <w:br/>
            </w:r>
            <w:r>
              <w:rPr>
                <w:rFonts w:hint="eastAsia"/>
                <w:sz w:val="20"/>
                <w:szCs w:val="20"/>
              </w:rPr>
              <w:t xml:space="preserve">8、实时数显传送速度，外置调速电位器，操作可视化，一目了然；</w:t>
            </w:r>
            <w:r>
              <w:rPr>
                <w:rFonts w:hint="eastAsia"/>
                <w:sz w:val="20"/>
                <w:szCs w:val="20"/>
              </w:rPr>
              <w:br/>
              <w:t xml:space="preserve">9、操作面板上配置总电源开关、启动开关、停止开关和急停开关。                                                                                                                                                                                                                              </w:t>
            </w:r>
            <w:r/>
          </w:p>
        </w:tc>
        <w:tc>
          <w:tcPr>
            <w:tcBorders>
              <w:top w:val="none" w:color="000000" w:sz="4" w:space="0"/>
              <w:left w:val="none" w:color="000000" w:sz="4" w:space="0"/>
              <w:bottom w:val="single" w:color="auto" w:sz="4" w:space="0"/>
              <w:right w:val="single" w:color="auto" w:sz="4" w:space="0"/>
            </w:tcBorders>
            <w:tcW w:w="680" w:type="dxa"/>
            <w:vAlign w:val="center"/>
            <w:textDirection w:val="lrTb"/>
            <w:noWrap/>
          </w:tcPr>
          <w:p>
            <w:pPr>
              <w:jc w:val="center"/>
              <w:rPr>
                <w:rFonts w:hint="eastAsia"/>
                <w:sz w:val="20"/>
                <w:szCs w:val="20"/>
              </w:rPr>
            </w:pPr>
            <w:r>
              <w:rPr>
                <w:rFonts w:hint="eastAsia"/>
                <w:sz w:val="20"/>
                <w:szCs w:val="20"/>
              </w:rPr>
              <w:t xml:space="preserve">套</w:t>
            </w:r>
            <w:r/>
          </w:p>
        </w:tc>
        <w:tc>
          <w:tcPr>
            <w:tcBorders>
              <w:top w:val="none" w:color="000000" w:sz="4" w:space="0"/>
              <w:left w:val="none" w:color="000000" w:sz="4" w:space="0"/>
              <w:bottom w:val="single" w:color="auto" w:sz="4" w:space="0"/>
              <w:right w:val="single" w:color="auto" w:sz="4" w:space="0"/>
            </w:tcBorders>
            <w:tcW w:w="631" w:type="dxa"/>
            <w:vAlign w:val="center"/>
            <w:textDirection w:val="lrTb"/>
            <w:noWrap/>
          </w:tcPr>
          <w:p>
            <w:pPr>
              <w:jc w:val="center"/>
              <w:rPr>
                <w:rFonts w:hint="eastAsia"/>
                <w:sz w:val="20"/>
                <w:szCs w:val="20"/>
              </w:rPr>
            </w:pPr>
            <w:r>
              <w:rPr>
                <w:rFonts w:hint="eastAsia"/>
                <w:sz w:val="20"/>
                <w:szCs w:val="20"/>
              </w:rPr>
              <w:t xml:space="preserve">1</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141</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val="false"/>
          </w:tcPr>
          <w:p>
            <w:pPr>
              <w:rPr>
                <w:rFonts w:hint="eastAsia"/>
                <w:sz w:val="20"/>
                <w:szCs w:val="20"/>
              </w:rPr>
            </w:pPr>
            <w:r>
              <w:rPr>
                <w:rFonts w:hint="eastAsia"/>
                <w:sz w:val="20"/>
                <w:szCs w:val="20"/>
              </w:rPr>
              <w:t xml:space="preserve">圆带式餐盘传送机2（含转角）</w:t>
            </w: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tcPr>
          <w:p>
            <w:pPr>
              <w:rPr>
                <w:rFonts w:hint="eastAsia"/>
                <w:sz w:val="20"/>
                <w:szCs w:val="20"/>
              </w:rPr>
            </w:pPr>
            <w:r>
              <w:rPr>
                <w:rFonts w:hint="eastAsia"/>
                <w:sz w:val="20"/>
                <w:szCs w:val="20"/>
              </w:rPr>
              <w:t xml:space="preserve">16700*480*880</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1、产品功能：通过圆带传送餐具，提高餐具回收效率，高效省时省力；</w:t>
            </w:r>
            <w:r>
              <w:rPr>
                <w:rFonts w:hint="eastAsia"/>
                <w:sz w:val="20"/>
                <w:szCs w:val="20"/>
              </w:rPr>
              <w:br/>
              <w:t xml:space="preserve">2、总功率：≥1KW；</w:t>
            </w:r>
            <w:r>
              <w:rPr>
                <w:rFonts w:hint="eastAsia"/>
                <w:sz w:val="20"/>
                <w:szCs w:val="20"/>
              </w:rPr>
              <w:br/>
              <w:t xml:space="preserve">3、传送速度：5～20m/min；</w:t>
            </w:r>
            <w:r>
              <w:rPr>
                <w:rFonts w:hint="eastAsia"/>
                <w:sz w:val="20"/>
                <w:szCs w:val="20"/>
              </w:rPr>
              <w:br/>
              <w:t xml:space="preserve">4、两条平行的圆带通过PP驱动轮带动平底托盘在不锈钢台面滑动，从而实现平底托盘直线、水平转弯以及带爬坡传送设计，传送过程无噪音；</w:t>
            </w:r>
            <w:r>
              <w:rPr>
                <w:rFonts w:hint="eastAsia"/>
                <w:sz w:val="20"/>
                <w:szCs w:val="20"/>
              </w:rPr>
              <w:br/>
              <w:t xml:space="preserve">5、配置≥</w:t>
            </w:r>
            <w:r>
              <w:rPr>
                <w:rFonts w:ascii="Calibri" w:hAnsi="Calibri" w:cs="Calibri"/>
                <w:sz w:val="20"/>
                <w:szCs w:val="20"/>
              </w:rPr>
              <w:t xml:space="preserve">φ</w:t>
            </w:r>
            <w:r>
              <w:rPr>
                <w:rFonts w:hint="eastAsia"/>
                <w:sz w:val="20"/>
                <w:szCs w:val="20"/>
              </w:rPr>
              <w:t xml:space="preserve">18mm聚氨酯圆带，内嵌加强芯，拉断力＞3000N，更经久耐用；</w:t>
            </w:r>
            <w:r>
              <w:rPr>
                <w:rFonts w:hint="eastAsia"/>
                <w:sz w:val="20"/>
                <w:szCs w:val="20"/>
              </w:rPr>
              <w:br/>
              <w:t xml:space="preserve">6、内置减速电机和变频器，具有无极变频调速，柔性启动功能；                                                 </w:t>
            </w:r>
            <w:r>
              <w:rPr>
                <w:rFonts w:hint="eastAsia"/>
                <w:sz w:val="20"/>
                <w:szCs w:val="20"/>
              </w:rPr>
              <w:br/>
              <w:t xml:space="preserve">7、采用不锈钢材质的托盘导向护边，台面内置残渣篮，清洁方便；</w:t>
            </w:r>
            <w:r>
              <w:rPr>
                <w:rFonts w:hint="eastAsia"/>
                <w:sz w:val="20"/>
                <w:szCs w:val="20"/>
              </w:rPr>
              <w:br/>
              <w:t xml:space="preserve">8、实时数显传送速度，外置调速电位器，操作可视化，一目了然；</w:t>
            </w:r>
            <w:r>
              <w:rPr>
                <w:rFonts w:hint="eastAsia"/>
                <w:sz w:val="20"/>
                <w:szCs w:val="20"/>
              </w:rPr>
              <w:br/>
              <w:t xml:space="preserve">9、操作面板上配置总电源开关、启动开关、停止开关和急停开关。                                                                                                                                                                                                                              </w:t>
            </w:r>
            <w:r/>
          </w:p>
        </w:tc>
        <w:tc>
          <w:tcPr>
            <w:tcBorders>
              <w:top w:val="none" w:color="000000" w:sz="4" w:space="0"/>
              <w:left w:val="none" w:color="000000" w:sz="4" w:space="0"/>
              <w:bottom w:val="single" w:color="auto" w:sz="4" w:space="0"/>
              <w:right w:val="single" w:color="auto" w:sz="4" w:space="0"/>
            </w:tcBorders>
            <w:tcW w:w="680" w:type="dxa"/>
            <w:vAlign w:val="center"/>
            <w:textDirection w:val="lrTb"/>
            <w:noWrap/>
          </w:tcPr>
          <w:p>
            <w:pPr>
              <w:jc w:val="center"/>
              <w:rPr>
                <w:rFonts w:hint="eastAsia"/>
                <w:sz w:val="20"/>
                <w:szCs w:val="20"/>
              </w:rPr>
            </w:pPr>
            <w:r>
              <w:rPr>
                <w:rFonts w:hint="eastAsia"/>
                <w:sz w:val="20"/>
                <w:szCs w:val="20"/>
              </w:rPr>
              <w:t xml:space="preserve">套</w:t>
            </w:r>
            <w:r/>
          </w:p>
        </w:tc>
        <w:tc>
          <w:tcPr>
            <w:tcBorders>
              <w:top w:val="none" w:color="000000" w:sz="4" w:space="0"/>
              <w:left w:val="none" w:color="000000" w:sz="4" w:space="0"/>
              <w:bottom w:val="single" w:color="auto" w:sz="4" w:space="0"/>
              <w:right w:val="single" w:color="auto" w:sz="4" w:space="0"/>
            </w:tcBorders>
            <w:tcW w:w="631" w:type="dxa"/>
            <w:vAlign w:val="center"/>
            <w:textDirection w:val="lrTb"/>
            <w:noWrap/>
          </w:tcPr>
          <w:p>
            <w:pPr>
              <w:jc w:val="center"/>
              <w:rPr>
                <w:rFonts w:hint="eastAsia"/>
                <w:sz w:val="20"/>
                <w:szCs w:val="20"/>
              </w:rPr>
            </w:pPr>
            <w:r>
              <w:rPr>
                <w:rFonts w:hint="eastAsia"/>
                <w:sz w:val="20"/>
                <w:szCs w:val="20"/>
              </w:rPr>
              <w:t xml:space="preserve">1</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142</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蒸柜推车</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820*650*1600</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采用SUS304，厚度：1.5mm不锈钢板；配静音万向脚轮。</w:t>
            </w:r>
            <w:r/>
          </w:p>
        </w:tc>
        <w:tc>
          <w:tcPr>
            <w:tcBorders>
              <w:top w:val="none" w:color="000000" w:sz="4" w:space="0"/>
              <w:left w:val="none" w:color="000000" w:sz="4" w:space="0"/>
              <w:bottom w:val="single" w:color="auto" w:sz="4" w:space="0"/>
              <w:right w:val="single" w:color="auto"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000000" w:sz="4" w:space="0"/>
              <w:right w:val="single" w:color="000000" w:sz="4" w:space="0"/>
            </w:tcBorders>
            <w:tcW w:w="631" w:type="dxa"/>
            <w:vAlign w:val="center"/>
            <w:textDirection w:val="lrTb"/>
            <w:noWrap/>
          </w:tcPr>
          <w:p>
            <w:pPr>
              <w:jc w:val="center"/>
              <w:rPr>
                <w:rFonts w:hint="eastAsia"/>
                <w:sz w:val="20"/>
                <w:szCs w:val="20"/>
              </w:rPr>
            </w:pPr>
            <w:r>
              <w:rPr>
                <w:rFonts w:hint="eastAsia"/>
                <w:sz w:val="20"/>
                <w:szCs w:val="20"/>
              </w:rPr>
              <w:t xml:space="preserve">3</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143</w:t>
            </w:r>
            <w:r/>
          </w:p>
        </w:tc>
        <w:tc>
          <w:tcPr>
            <w:tcBorders>
              <w:top w:val="none" w:color="000000" w:sz="4" w:space="0"/>
              <w:left w:val="none" w:color="000000" w:sz="4" w:space="0"/>
              <w:bottom w:val="single" w:color="000000" w:sz="4" w:space="0"/>
              <w:right w:val="single" w:color="000000" w:sz="4" w:space="0"/>
            </w:tcBorders>
            <w:tcW w:w="1637" w:type="dxa"/>
            <w:vAlign w:val="center"/>
            <w:textDirection w:val="lrTb"/>
            <w:noWrap/>
          </w:tcPr>
          <w:p>
            <w:pPr>
              <w:rPr>
                <w:rFonts w:hint="eastAsia"/>
                <w:sz w:val="20"/>
                <w:szCs w:val="20"/>
              </w:rPr>
            </w:pPr>
            <w:r>
              <w:rPr>
                <w:rFonts w:hint="eastAsia"/>
                <w:sz w:val="20"/>
                <w:szCs w:val="20"/>
              </w:rPr>
              <w:t xml:space="preserve">拖把池1</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1200*600*600+200</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1、台面:采用SUS304 ≥1.5mm不锈钢板；</w:t>
            </w:r>
            <w:r>
              <w:rPr>
                <w:rFonts w:hint="eastAsia"/>
                <w:sz w:val="20"/>
                <w:szCs w:val="20"/>
              </w:rPr>
              <w:br/>
              <w:t xml:space="preserve">2、槽身:采用SUS304 ≥1.5mm不锈钢板；</w:t>
            </w:r>
            <w:r>
              <w:rPr>
                <w:rFonts w:hint="eastAsia"/>
                <w:sz w:val="20"/>
                <w:szCs w:val="20"/>
              </w:rPr>
              <w:br/>
              <w:t xml:space="preserve">3、脚架:采用SUS304 </w:t>
            </w:r>
            <w:r>
              <w:rPr>
                <w:rFonts w:ascii="Calibri" w:hAnsi="Calibri" w:cs="Calibri"/>
                <w:sz w:val="20"/>
                <w:szCs w:val="20"/>
              </w:rPr>
              <w:t xml:space="preserve">ф</w:t>
            </w:r>
            <w:r>
              <w:rPr>
                <w:rFonts w:hint="eastAsia"/>
                <w:sz w:val="20"/>
                <w:szCs w:val="20"/>
              </w:rPr>
              <w:t xml:space="preserve">38mm，厚度≥1.5mm定形管；</w:t>
            </w:r>
            <w:r>
              <w:rPr>
                <w:rFonts w:hint="eastAsia"/>
                <w:sz w:val="20"/>
                <w:szCs w:val="20"/>
              </w:rPr>
              <w:br/>
              <w:t xml:space="preserve">4、横档:采用SUS304 </w:t>
            </w:r>
            <w:r>
              <w:rPr>
                <w:rFonts w:ascii="Calibri" w:hAnsi="Calibri" w:cs="Calibri"/>
                <w:sz w:val="20"/>
                <w:szCs w:val="20"/>
              </w:rPr>
              <w:t xml:space="preserve">ф</w:t>
            </w:r>
            <w:r>
              <w:rPr>
                <w:rFonts w:hint="eastAsia"/>
                <w:sz w:val="20"/>
                <w:szCs w:val="20"/>
              </w:rPr>
              <w:t xml:space="preserve">25mm，厚度≥1.2mm定形管；</w:t>
            </w:r>
            <w:r>
              <w:rPr>
                <w:rFonts w:hint="eastAsia"/>
                <w:sz w:val="20"/>
                <w:szCs w:val="20"/>
              </w:rPr>
              <w:br/>
              <w:t xml:space="preserve">5、配SUS304不锈钢下水口、配SUS304 </w:t>
            </w:r>
            <w:r>
              <w:rPr>
                <w:rFonts w:ascii="Calibri" w:hAnsi="Calibri" w:cs="Calibri"/>
                <w:sz w:val="20"/>
                <w:szCs w:val="20"/>
              </w:rPr>
              <w:t xml:space="preserve">ф</w:t>
            </w:r>
            <w:r>
              <w:rPr>
                <w:rFonts w:hint="eastAsia"/>
                <w:sz w:val="20"/>
                <w:szCs w:val="20"/>
              </w:rPr>
              <w:t xml:space="preserve">38mm不锈钢调节子弹脚。</w:t>
            </w:r>
            <w:r/>
          </w:p>
        </w:tc>
        <w:tc>
          <w:tcPr>
            <w:tcBorders>
              <w:top w:val="none" w:color="000000" w:sz="4" w:space="0"/>
              <w:left w:val="none" w:color="000000" w:sz="4" w:space="0"/>
              <w:bottom w:val="single" w:color="000000" w:sz="4" w:space="0"/>
              <w:right w:val="single" w:color="000000"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000000" w:sz="4" w:space="0"/>
              <w:right w:val="single" w:color="000000" w:sz="4" w:space="0"/>
            </w:tcBorders>
            <w:tcW w:w="631" w:type="dxa"/>
            <w:vAlign w:val="center"/>
            <w:textDirection w:val="lrTb"/>
            <w:noWrap/>
          </w:tcPr>
          <w:p>
            <w:pPr>
              <w:jc w:val="center"/>
              <w:rPr>
                <w:rFonts w:hint="eastAsia"/>
                <w:sz w:val="20"/>
                <w:szCs w:val="20"/>
              </w:rPr>
            </w:pPr>
            <w:r>
              <w:rPr>
                <w:rFonts w:hint="eastAsia"/>
                <w:sz w:val="20"/>
                <w:szCs w:val="20"/>
              </w:rPr>
              <w:t xml:space="preserve">1</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144</w:t>
            </w:r>
            <w:r/>
          </w:p>
        </w:tc>
        <w:tc>
          <w:tcPr>
            <w:tcBorders>
              <w:top w:val="none" w:color="000000" w:sz="4" w:space="0"/>
              <w:left w:val="none" w:color="000000" w:sz="4" w:space="0"/>
              <w:bottom w:val="single" w:color="000000" w:sz="4" w:space="0"/>
              <w:right w:val="single" w:color="000000" w:sz="4" w:space="0"/>
            </w:tcBorders>
            <w:tcW w:w="1637" w:type="dxa"/>
            <w:vAlign w:val="center"/>
            <w:textDirection w:val="lrTb"/>
            <w:noWrap/>
          </w:tcPr>
          <w:p>
            <w:pPr>
              <w:rPr>
                <w:rFonts w:hint="eastAsia"/>
                <w:sz w:val="20"/>
                <w:szCs w:val="20"/>
              </w:rPr>
            </w:pPr>
            <w:r>
              <w:rPr>
                <w:rFonts w:hint="eastAsia"/>
                <w:sz w:val="20"/>
                <w:szCs w:val="20"/>
              </w:rPr>
              <w:t xml:space="preserve">拖把池2</w:t>
            </w: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tcPr>
          <w:p>
            <w:pPr>
              <w:rPr>
                <w:rFonts w:hint="eastAsia"/>
                <w:sz w:val="20"/>
                <w:szCs w:val="20"/>
              </w:rPr>
            </w:pPr>
            <w:r>
              <w:rPr>
                <w:rFonts w:hint="eastAsia"/>
                <w:sz w:val="20"/>
                <w:szCs w:val="20"/>
              </w:rPr>
              <w:t xml:space="preserve">900*600*600+200</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1、台面:采用SUS304 ≥1.5mm不锈钢板；</w:t>
            </w:r>
            <w:r>
              <w:rPr>
                <w:rFonts w:hint="eastAsia"/>
                <w:sz w:val="20"/>
                <w:szCs w:val="20"/>
              </w:rPr>
              <w:br/>
              <w:t xml:space="preserve">2、槽身:采用SUS304 ≥1.5mm不锈钢板；</w:t>
            </w:r>
            <w:r>
              <w:rPr>
                <w:rFonts w:hint="eastAsia"/>
                <w:sz w:val="20"/>
                <w:szCs w:val="20"/>
              </w:rPr>
              <w:br/>
              <w:t xml:space="preserve">3、脚架:采用SUS304 </w:t>
            </w:r>
            <w:r>
              <w:rPr>
                <w:rFonts w:ascii="Calibri" w:hAnsi="Calibri" w:cs="Calibri"/>
                <w:sz w:val="20"/>
                <w:szCs w:val="20"/>
              </w:rPr>
              <w:t xml:space="preserve">ф</w:t>
            </w:r>
            <w:r>
              <w:rPr>
                <w:rFonts w:hint="eastAsia"/>
                <w:sz w:val="20"/>
                <w:szCs w:val="20"/>
              </w:rPr>
              <w:t xml:space="preserve">38mm，厚度≥1.5mm定形管；</w:t>
            </w:r>
            <w:r>
              <w:rPr>
                <w:rFonts w:hint="eastAsia"/>
                <w:sz w:val="20"/>
                <w:szCs w:val="20"/>
              </w:rPr>
              <w:br/>
            </w:r>
            <w:r>
              <w:rPr>
                <w:rFonts w:hint="eastAsia"/>
                <w:sz w:val="20"/>
                <w:szCs w:val="20"/>
              </w:rPr>
              <w:t xml:space="preserve">4、横档:采用SUS304 </w:t>
            </w:r>
            <w:r>
              <w:rPr>
                <w:rFonts w:ascii="Calibri" w:hAnsi="Calibri" w:cs="Calibri"/>
                <w:sz w:val="20"/>
                <w:szCs w:val="20"/>
              </w:rPr>
              <w:t xml:space="preserve">ф</w:t>
            </w:r>
            <w:r>
              <w:rPr>
                <w:rFonts w:hint="eastAsia"/>
                <w:sz w:val="20"/>
                <w:szCs w:val="20"/>
              </w:rPr>
              <w:t xml:space="preserve">25mm，厚度≥1.2mm定形管；</w:t>
            </w:r>
            <w:r>
              <w:rPr>
                <w:rFonts w:hint="eastAsia"/>
                <w:sz w:val="20"/>
                <w:szCs w:val="20"/>
              </w:rPr>
              <w:br/>
              <w:t xml:space="preserve">5、配SUS304不锈钢下水口、配SUS304 </w:t>
            </w:r>
            <w:r>
              <w:rPr>
                <w:rFonts w:ascii="Calibri" w:hAnsi="Calibri" w:cs="Calibri"/>
                <w:sz w:val="20"/>
                <w:szCs w:val="20"/>
              </w:rPr>
              <w:t xml:space="preserve">ф</w:t>
            </w:r>
            <w:r>
              <w:rPr>
                <w:rFonts w:hint="eastAsia"/>
                <w:sz w:val="20"/>
                <w:szCs w:val="20"/>
              </w:rPr>
              <w:t xml:space="preserve">38mm不锈钢调节子弹脚。</w:t>
            </w:r>
            <w:r/>
          </w:p>
        </w:tc>
        <w:tc>
          <w:tcPr>
            <w:tcBorders>
              <w:top w:val="none" w:color="000000" w:sz="4" w:space="0"/>
              <w:left w:val="none" w:color="000000" w:sz="4" w:space="0"/>
              <w:bottom w:val="single" w:color="000000" w:sz="4" w:space="0"/>
              <w:right w:val="single" w:color="000000"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000000" w:sz="4" w:space="0"/>
              <w:right w:val="single" w:color="000000" w:sz="4" w:space="0"/>
            </w:tcBorders>
            <w:tcW w:w="631" w:type="dxa"/>
            <w:vAlign w:val="center"/>
            <w:textDirection w:val="lrTb"/>
            <w:noWrap/>
          </w:tcPr>
          <w:p>
            <w:pPr>
              <w:jc w:val="center"/>
              <w:rPr>
                <w:rFonts w:hint="eastAsia"/>
                <w:sz w:val="20"/>
                <w:szCs w:val="20"/>
              </w:rPr>
            </w:pPr>
            <w:r>
              <w:rPr>
                <w:rFonts w:hint="eastAsia"/>
                <w:sz w:val="20"/>
                <w:szCs w:val="20"/>
              </w:rPr>
              <w:t xml:space="preserve">1</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145</w:t>
            </w:r>
            <w:r/>
          </w:p>
        </w:tc>
        <w:tc>
          <w:tcPr>
            <w:tcBorders>
              <w:top w:val="none" w:color="000000" w:sz="4" w:space="0"/>
              <w:left w:val="none" w:color="000000" w:sz="4" w:space="0"/>
              <w:bottom w:val="single" w:color="000000" w:sz="4" w:space="0"/>
              <w:right w:val="single" w:color="000000" w:sz="4" w:space="0"/>
            </w:tcBorders>
            <w:tcW w:w="1637" w:type="dxa"/>
            <w:vAlign w:val="center"/>
            <w:textDirection w:val="lrTb"/>
            <w:noWrap/>
          </w:tcPr>
          <w:p>
            <w:pPr>
              <w:rPr>
                <w:rFonts w:hint="eastAsia"/>
                <w:sz w:val="20"/>
                <w:szCs w:val="20"/>
              </w:rPr>
            </w:pPr>
            <w:r>
              <w:rPr>
                <w:rFonts w:hint="eastAsia"/>
                <w:sz w:val="20"/>
                <w:szCs w:val="20"/>
              </w:rPr>
              <w:t xml:space="preserve">拖把架1</w:t>
            </w: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tcPr>
          <w:p>
            <w:pPr>
              <w:rPr>
                <w:rFonts w:hint="eastAsia"/>
                <w:sz w:val="20"/>
                <w:szCs w:val="20"/>
              </w:rPr>
            </w:pPr>
            <w:r>
              <w:rPr>
                <w:rFonts w:hint="eastAsia"/>
                <w:sz w:val="20"/>
                <w:szCs w:val="20"/>
              </w:rPr>
              <w:t xml:space="preserve">L=1200</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1、采用SUS304 厚度≥1.2mm不锈钢；</w:t>
            </w:r>
            <w:r>
              <w:rPr>
                <w:rFonts w:hint="eastAsia"/>
                <w:sz w:val="20"/>
                <w:szCs w:val="20"/>
              </w:rPr>
              <w:br/>
              <w:t xml:space="preserve">2、立柱、横档 SUS304不锈钢</w:t>
            </w:r>
            <w:r>
              <w:rPr>
                <w:rFonts w:ascii="Calibri" w:hAnsi="Calibri" w:cs="Calibri"/>
                <w:sz w:val="20"/>
                <w:szCs w:val="20"/>
              </w:rPr>
              <w:t xml:space="preserve">ф</w:t>
            </w:r>
            <w:r>
              <w:rPr>
                <w:rFonts w:hint="eastAsia"/>
                <w:sz w:val="20"/>
                <w:szCs w:val="20"/>
              </w:rPr>
              <w:t xml:space="preserve">38mm，厚度≥1.5mm管，挂架</w:t>
            </w:r>
            <w:r>
              <w:rPr>
                <w:rFonts w:ascii="Calibri" w:hAnsi="Calibri" w:cs="Calibri"/>
                <w:sz w:val="20"/>
                <w:szCs w:val="20"/>
              </w:rPr>
              <w:t xml:space="preserve">φ</w:t>
            </w:r>
            <w:r>
              <w:rPr>
                <w:rFonts w:hint="eastAsia"/>
                <w:sz w:val="20"/>
                <w:szCs w:val="20"/>
              </w:rPr>
              <w:t xml:space="preserve">4mm圆钢，配全钢可调节子弹脚；</w:t>
            </w:r>
            <w:r/>
          </w:p>
        </w:tc>
        <w:tc>
          <w:tcPr>
            <w:tcBorders>
              <w:top w:val="none" w:color="000000" w:sz="4" w:space="0"/>
              <w:left w:val="none" w:color="000000" w:sz="4" w:space="0"/>
              <w:bottom w:val="single" w:color="000000" w:sz="4" w:space="0"/>
              <w:right w:val="single" w:color="000000"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000000" w:sz="4" w:space="0"/>
              <w:right w:val="single" w:color="000000" w:sz="4" w:space="0"/>
            </w:tcBorders>
            <w:tcW w:w="631" w:type="dxa"/>
            <w:vAlign w:val="center"/>
            <w:textDirection w:val="lrTb"/>
            <w:noWrap/>
          </w:tcPr>
          <w:p>
            <w:pPr>
              <w:jc w:val="center"/>
              <w:rPr>
                <w:rFonts w:hint="eastAsia"/>
                <w:sz w:val="20"/>
                <w:szCs w:val="20"/>
              </w:rPr>
            </w:pPr>
            <w:r>
              <w:rPr>
                <w:rFonts w:hint="eastAsia"/>
                <w:sz w:val="20"/>
                <w:szCs w:val="20"/>
              </w:rPr>
              <w:t xml:space="preserve">2</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146</w:t>
            </w:r>
            <w:r/>
          </w:p>
        </w:tc>
        <w:tc>
          <w:tcPr>
            <w:tcBorders>
              <w:top w:val="none" w:color="000000" w:sz="4" w:space="0"/>
              <w:left w:val="none" w:color="000000" w:sz="4" w:space="0"/>
              <w:bottom w:val="single" w:color="000000" w:sz="4" w:space="0"/>
              <w:right w:val="single" w:color="000000" w:sz="4" w:space="0"/>
            </w:tcBorders>
            <w:tcW w:w="1637" w:type="dxa"/>
            <w:vAlign w:val="center"/>
            <w:textDirection w:val="lrTb"/>
            <w:noWrap/>
          </w:tcPr>
          <w:p>
            <w:pPr>
              <w:rPr>
                <w:rFonts w:hint="eastAsia"/>
                <w:sz w:val="20"/>
                <w:szCs w:val="20"/>
              </w:rPr>
            </w:pPr>
            <w:r>
              <w:rPr>
                <w:rFonts w:hint="eastAsia"/>
                <w:sz w:val="20"/>
                <w:szCs w:val="20"/>
              </w:rPr>
              <w:t xml:space="preserve">拖把架2</w:t>
            </w: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tcPr>
          <w:p>
            <w:pPr>
              <w:rPr>
                <w:rFonts w:hint="eastAsia"/>
                <w:sz w:val="20"/>
                <w:szCs w:val="20"/>
              </w:rPr>
            </w:pPr>
            <w:r>
              <w:rPr>
                <w:rFonts w:hint="eastAsia"/>
                <w:sz w:val="20"/>
                <w:szCs w:val="20"/>
              </w:rPr>
              <w:t xml:space="preserve">L=900</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1、采用SUS304 厚度≥1.2mm不锈钢；</w:t>
            </w:r>
            <w:r>
              <w:rPr>
                <w:rFonts w:hint="eastAsia"/>
                <w:sz w:val="20"/>
                <w:szCs w:val="20"/>
              </w:rPr>
              <w:br/>
              <w:t xml:space="preserve">2、立柱、横档 SUS304不锈钢</w:t>
            </w:r>
            <w:r>
              <w:rPr>
                <w:rFonts w:ascii="Calibri" w:hAnsi="Calibri" w:cs="Calibri"/>
                <w:sz w:val="20"/>
                <w:szCs w:val="20"/>
              </w:rPr>
              <w:t xml:space="preserve">ф</w:t>
            </w:r>
            <w:r>
              <w:rPr>
                <w:rFonts w:hint="eastAsia"/>
                <w:sz w:val="20"/>
                <w:szCs w:val="20"/>
              </w:rPr>
              <w:t xml:space="preserve">38mm，厚度≥1.5mm管，挂架</w:t>
            </w:r>
            <w:r>
              <w:rPr>
                <w:rFonts w:ascii="Calibri" w:hAnsi="Calibri" w:cs="Calibri"/>
                <w:sz w:val="20"/>
                <w:szCs w:val="20"/>
              </w:rPr>
              <w:t xml:space="preserve">φ</w:t>
            </w:r>
            <w:r>
              <w:rPr>
                <w:rFonts w:hint="eastAsia"/>
                <w:sz w:val="20"/>
                <w:szCs w:val="20"/>
              </w:rPr>
              <w:t xml:space="preserve">4mm圆钢，配全钢可调节子弹脚；</w:t>
            </w:r>
            <w:r/>
          </w:p>
        </w:tc>
        <w:tc>
          <w:tcPr>
            <w:tcBorders>
              <w:top w:val="none" w:color="000000" w:sz="4" w:space="0"/>
              <w:left w:val="none" w:color="000000" w:sz="4" w:space="0"/>
              <w:bottom w:val="single" w:color="000000" w:sz="4" w:space="0"/>
              <w:right w:val="single" w:color="000000"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31" w:type="dxa"/>
            <w:vAlign w:val="center"/>
            <w:textDirection w:val="lrTb"/>
            <w:noWrap/>
          </w:tcPr>
          <w:p>
            <w:pPr>
              <w:jc w:val="center"/>
              <w:rPr>
                <w:rFonts w:hint="eastAsia"/>
                <w:sz w:val="20"/>
                <w:szCs w:val="20"/>
              </w:rPr>
            </w:pPr>
            <w:r>
              <w:rPr>
                <w:rFonts w:hint="eastAsia"/>
                <w:sz w:val="20"/>
                <w:szCs w:val="20"/>
              </w:rPr>
              <w:t xml:space="preserve">1</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147</w:t>
            </w:r>
            <w:r/>
          </w:p>
        </w:tc>
        <w:tc>
          <w:tcPr>
            <w:tcBorders>
              <w:top w:val="none" w:color="000000" w:sz="4" w:space="0"/>
              <w:left w:val="none" w:color="000000" w:sz="4" w:space="0"/>
              <w:bottom w:val="single" w:color="000000" w:sz="4" w:space="0"/>
              <w:right w:val="single" w:color="000000" w:sz="4" w:space="0"/>
            </w:tcBorders>
            <w:tcW w:w="1637" w:type="dxa"/>
            <w:vAlign w:val="center"/>
            <w:textDirection w:val="lrTb"/>
            <w:noWrap/>
          </w:tcPr>
          <w:p>
            <w:pPr>
              <w:rPr>
                <w:rFonts w:hint="eastAsia"/>
                <w:sz w:val="20"/>
                <w:szCs w:val="20"/>
              </w:rPr>
            </w:pPr>
            <w:r>
              <w:rPr>
                <w:rFonts w:hint="eastAsia"/>
                <w:sz w:val="20"/>
                <w:szCs w:val="20"/>
              </w:rPr>
              <w:t xml:space="preserve">地隔架</w:t>
            </w: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tcPr>
          <w:p>
            <w:pPr>
              <w:rPr>
                <w:rFonts w:hint="eastAsia"/>
                <w:sz w:val="20"/>
                <w:szCs w:val="20"/>
              </w:rPr>
            </w:pPr>
            <w:r>
              <w:rPr>
                <w:rFonts w:hint="eastAsia"/>
                <w:sz w:val="20"/>
                <w:szCs w:val="20"/>
              </w:rPr>
              <w:t xml:space="preserve">1200*600*200</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1、横档：采用SUS304 38*25mm，厚度≥1.5mm不锈钢方管；</w:t>
            </w:r>
            <w:r>
              <w:rPr>
                <w:rFonts w:hint="eastAsia"/>
                <w:sz w:val="20"/>
                <w:szCs w:val="20"/>
              </w:rPr>
              <w:br/>
              <w:t xml:space="preserve">2、栅栏：采用SUS304 38*25mm，厚度≥1.5mm不锈钢方管；</w:t>
            </w:r>
            <w:r>
              <w:rPr>
                <w:rFonts w:hint="eastAsia"/>
                <w:sz w:val="20"/>
                <w:szCs w:val="20"/>
              </w:rPr>
              <w:br/>
              <w:t xml:space="preserve">3、脚架：采用SUS304 38*38mm，厚度≥1.5mm不锈钢方管。</w:t>
            </w:r>
            <w:r/>
          </w:p>
        </w:tc>
        <w:tc>
          <w:tcPr>
            <w:tcBorders>
              <w:top w:val="none" w:color="000000" w:sz="4" w:space="0"/>
              <w:left w:val="none" w:color="000000" w:sz="4" w:space="0"/>
              <w:bottom w:val="single" w:color="000000" w:sz="4" w:space="0"/>
              <w:right w:val="single" w:color="000000"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000000" w:sz="4" w:space="0"/>
              <w:right w:val="single" w:color="000000" w:sz="4" w:space="0"/>
            </w:tcBorders>
            <w:tcW w:w="631" w:type="dxa"/>
            <w:vAlign w:val="center"/>
            <w:textDirection w:val="lrTb"/>
            <w:noWrap/>
          </w:tcPr>
          <w:p>
            <w:pPr>
              <w:jc w:val="center"/>
              <w:rPr>
                <w:rFonts w:hint="eastAsia"/>
                <w:sz w:val="20"/>
                <w:szCs w:val="20"/>
              </w:rPr>
            </w:pPr>
            <w:r>
              <w:rPr>
                <w:rFonts w:hint="eastAsia"/>
                <w:sz w:val="20"/>
                <w:szCs w:val="20"/>
              </w:rPr>
              <w:t xml:space="preserve">3</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148</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紫外线消毒灯</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功率：≥36W，电压：220V。</w:t>
            </w:r>
            <w:r/>
          </w:p>
        </w:tc>
        <w:tc>
          <w:tcPr>
            <w:tcBorders>
              <w:top w:val="none" w:color="000000" w:sz="4" w:space="0"/>
              <w:left w:val="none" w:color="000000" w:sz="4" w:space="0"/>
              <w:bottom w:val="single" w:color="auto" w:sz="4" w:space="0"/>
              <w:right w:val="single" w:color="auto"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31" w:type="dxa"/>
            <w:vAlign w:val="center"/>
            <w:textDirection w:val="lrTb"/>
            <w:noWrap/>
          </w:tcPr>
          <w:p>
            <w:pPr>
              <w:jc w:val="center"/>
              <w:rPr>
                <w:rFonts w:hint="eastAsia"/>
                <w:sz w:val="20"/>
                <w:szCs w:val="20"/>
              </w:rPr>
            </w:pPr>
            <w:r>
              <w:rPr>
                <w:rFonts w:hint="eastAsia"/>
                <w:sz w:val="20"/>
                <w:szCs w:val="20"/>
              </w:rPr>
              <w:t xml:space="preserve">28</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149</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灭蝇灯</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诱蝇灯管；功率：≥30W，电压：220V；</w:t>
            </w:r>
            <w:r/>
          </w:p>
        </w:tc>
        <w:tc>
          <w:tcPr>
            <w:tcBorders>
              <w:top w:val="none" w:color="000000" w:sz="4" w:space="0"/>
              <w:left w:val="none" w:color="000000" w:sz="4" w:space="0"/>
              <w:bottom w:val="single" w:color="auto" w:sz="4" w:space="0"/>
              <w:right w:val="single" w:color="auto"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31" w:type="dxa"/>
            <w:vAlign w:val="center"/>
            <w:textDirection w:val="lrTb"/>
            <w:noWrap/>
          </w:tcPr>
          <w:p>
            <w:pPr>
              <w:jc w:val="center"/>
              <w:rPr>
                <w:rFonts w:hint="eastAsia"/>
                <w:sz w:val="20"/>
                <w:szCs w:val="20"/>
              </w:rPr>
            </w:pPr>
            <w:r>
              <w:rPr>
                <w:rFonts w:hint="eastAsia"/>
                <w:sz w:val="20"/>
                <w:szCs w:val="20"/>
              </w:rPr>
              <w:t xml:space="preserve">41</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150</w:t>
            </w:r>
            <w:r/>
          </w:p>
        </w:tc>
        <w:tc>
          <w:tcPr>
            <w:tcBorders>
              <w:top w:val="none" w:color="000000" w:sz="4" w:space="0"/>
              <w:left w:val="none" w:color="000000" w:sz="4" w:space="0"/>
              <w:bottom w:val="single" w:color="000000" w:sz="4" w:space="0"/>
              <w:right w:val="single" w:color="000000" w:sz="4" w:space="0"/>
            </w:tcBorders>
            <w:tcW w:w="1637" w:type="dxa"/>
            <w:vAlign w:val="center"/>
            <w:textDirection w:val="lrTb"/>
            <w:noWrap/>
          </w:tcPr>
          <w:p>
            <w:pPr>
              <w:rPr>
                <w:rFonts w:hint="eastAsia"/>
                <w:sz w:val="20"/>
                <w:szCs w:val="20"/>
              </w:rPr>
            </w:pPr>
            <w:r>
              <w:rPr>
                <w:rFonts w:hint="eastAsia"/>
                <w:sz w:val="20"/>
                <w:szCs w:val="20"/>
              </w:rPr>
              <w:t xml:space="preserve">传送带封板1</w:t>
            </w: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tcPr>
          <w:p>
            <w:pPr>
              <w:rPr>
                <w:rFonts w:hint="eastAsia"/>
                <w:sz w:val="20"/>
                <w:szCs w:val="20"/>
              </w:rPr>
            </w:pPr>
            <w:r>
              <w:rPr>
                <w:rFonts w:hint="eastAsia"/>
                <w:sz w:val="20"/>
                <w:szCs w:val="20"/>
              </w:rPr>
              <w:t xml:space="preserve">5700*300</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采用SUS304 厚度≥1.2mm不锈钢板。</w:t>
            </w:r>
            <w:r/>
          </w:p>
        </w:tc>
        <w:tc>
          <w:tcPr>
            <w:tcBorders>
              <w:top w:val="none" w:color="000000" w:sz="4" w:space="0"/>
              <w:left w:val="none" w:color="000000" w:sz="4" w:space="0"/>
              <w:bottom w:val="single" w:color="000000" w:sz="4" w:space="0"/>
              <w:right w:val="single" w:color="000000"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000000" w:sz="4" w:space="0"/>
              <w:right w:val="single" w:color="000000" w:sz="4" w:space="0"/>
            </w:tcBorders>
            <w:tcW w:w="631" w:type="dxa"/>
            <w:vAlign w:val="center"/>
            <w:textDirection w:val="lrTb"/>
            <w:noWrap/>
          </w:tcPr>
          <w:p>
            <w:pPr>
              <w:jc w:val="center"/>
              <w:rPr>
                <w:rFonts w:hint="eastAsia"/>
                <w:sz w:val="20"/>
                <w:szCs w:val="20"/>
              </w:rPr>
            </w:pPr>
            <w:r>
              <w:rPr>
                <w:rFonts w:hint="eastAsia"/>
                <w:sz w:val="20"/>
                <w:szCs w:val="20"/>
              </w:rPr>
              <w:t xml:space="preserve">1</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151</w:t>
            </w:r>
            <w:r/>
          </w:p>
        </w:tc>
        <w:tc>
          <w:tcPr>
            <w:tcBorders>
              <w:top w:val="none" w:color="000000" w:sz="4" w:space="0"/>
              <w:left w:val="none" w:color="000000" w:sz="4" w:space="0"/>
              <w:bottom w:val="single" w:color="000000" w:sz="4" w:space="0"/>
              <w:right w:val="single" w:color="000000" w:sz="4" w:space="0"/>
            </w:tcBorders>
            <w:tcW w:w="1637" w:type="dxa"/>
            <w:vAlign w:val="center"/>
            <w:textDirection w:val="lrTb"/>
            <w:noWrap/>
          </w:tcPr>
          <w:p>
            <w:pPr>
              <w:rPr>
                <w:rFonts w:hint="eastAsia"/>
                <w:sz w:val="20"/>
                <w:szCs w:val="20"/>
              </w:rPr>
            </w:pPr>
            <w:r>
              <w:rPr>
                <w:rFonts w:hint="eastAsia"/>
                <w:sz w:val="20"/>
                <w:szCs w:val="20"/>
              </w:rPr>
              <w:t xml:space="preserve">传送带封板2</w:t>
            </w: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tcPr>
          <w:p>
            <w:pPr>
              <w:rPr>
                <w:rFonts w:hint="eastAsia"/>
                <w:sz w:val="20"/>
                <w:szCs w:val="20"/>
              </w:rPr>
            </w:pPr>
            <w:r>
              <w:rPr>
                <w:rFonts w:hint="eastAsia"/>
                <w:sz w:val="20"/>
                <w:szCs w:val="20"/>
              </w:rPr>
              <w:t xml:space="preserve">5700*100</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采用SUS304 厚度≥1.2mm不锈钢板。</w:t>
            </w:r>
            <w:r/>
          </w:p>
        </w:tc>
        <w:tc>
          <w:tcPr>
            <w:tcBorders>
              <w:top w:val="none" w:color="000000" w:sz="4" w:space="0"/>
              <w:left w:val="none" w:color="000000" w:sz="4" w:space="0"/>
              <w:bottom w:val="single" w:color="000000" w:sz="4" w:space="0"/>
              <w:right w:val="single" w:color="000000"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000000" w:sz="4" w:space="0"/>
              <w:right w:val="single" w:color="000000" w:sz="4" w:space="0"/>
            </w:tcBorders>
            <w:tcW w:w="631" w:type="dxa"/>
            <w:vAlign w:val="center"/>
            <w:textDirection w:val="lrTb"/>
            <w:noWrap/>
          </w:tcPr>
          <w:p>
            <w:pPr>
              <w:jc w:val="center"/>
              <w:rPr>
                <w:rFonts w:hint="eastAsia"/>
                <w:sz w:val="20"/>
                <w:szCs w:val="20"/>
              </w:rPr>
            </w:pPr>
            <w:r>
              <w:rPr>
                <w:rFonts w:hint="eastAsia"/>
                <w:sz w:val="20"/>
                <w:szCs w:val="20"/>
              </w:rPr>
              <w:t xml:space="preserve">1</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152</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不锈钢封墙钢1</w:t>
            </w: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tcPr>
          <w:p>
            <w:pPr>
              <w:rPr>
                <w:rFonts w:hint="eastAsia"/>
                <w:sz w:val="20"/>
                <w:szCs w:val="20"/>
              </w:rPr>
            </w:pPr>
            <w:r>
              <w:rPr>
                <w:rFonts w:hint="eastAsia"/>
                <w:sz w:val="20"/>
                <w:szCs w:val="20"/>
              </w:rPr>
              <w:t xml:space="preserve">15000*1300*2组</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采用SUS304 厚度≥1.2mm不锈钢板。</w:t>
            </w:r>
            <w:r/>
          </w:p>
        </w:tc>
        <w:tc>
          <w:tcPr>
            <w:tcBorders>
              <w:top w:val="none" w:color="000000" w:sz="4" w:space="0"/>
              <w:left w:val="none" w:color="000000" w:sz="4" w:space="0"/>
              <w:bottom w:val="single" w:color="auto" w:sz="4" w:space="0"/>
              <w:right w:val="single" w:color="auto" w:sz="4" w:space="0"/>
            </w:tcBorders>
            <w:tcW w:w="680" w:type="dxa"/>
            <w:vAlign w:val="center"/>
            <w:textDirection w:val="lrTb"/>
            <w:noWrap/>
          </w:tcPr>
          <w:p>
            <w:pPr>
              <w:jc w:val="center"/>
              <w:rPr>
                <w:rFonts w:hint="eastAsia"/>
                <w:sz w:val="20"/>
                <w:szCs w:val="20"/>
              </w:rPr>
            </w:pPr>
            <w:r>
              <w:rPr>
                <w:rFonts w:hint="eastAsia"/>
                <w:sz w:val="20"/>
                <w:szCs w:val="20"/>
              </w:rPr>
              <w:t xml:space="preserve">㎡</w:t>
            </w:r>
            <w:r/>
          </w:p>
        </w:tc>
        <w:tc>
          <w:tcPr>
            <w:tcBorders>
              <w:top w:val="none" w:color="000000" w:sz="4" w:space="0"/>
              <w:left w:val="none" w:color="000000" w:sz="4" w:space="0"/>
              <w:bottom w:val="single" w:color="000000" w:sz="4" w:space="0"/>
              <w:right w:val="single" w:color="000000" w:sz="4" w:space="0"/>
            </w:tcBorders>
            <w:tcW w:w="631" w:type="dxa"/>
            <w:vAlign w:val="center"/>
            <w:textDirection w:val="lrTb"/>
            <w:noWrap/>
          </w:tcPr>
          <w:p>
            <w:pPr>
              <w:jc w:val="center"/>
              <w:rPr>
                <w:rFonts w:hint="eastAsia"/>
                <w:sz w:val="20"/>
                <w:szCs w:val="20"/>
              </w:rPr>
            </w:pPr>
            <w:r>
              <w:rPr>
                <w:rFonts w:hint="eastAsia"/>
                <w:sz w:val="20"/>
                <w:szCs w:val="20"/>
              </w:rPr>
              <w:t xml:space="preserve">39</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153</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不锈钢封墙钢2</w:t>
            </w: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tcPr>
          <w:p>
            <w:pPr>
              <w:rPr>
                <w:rFonts w:hint="eastAsia"/>
                <w:sz w:val="20"/>
                <w:szCs w:val="20"/>
              </w:rPr>
            </w:pPr>
            <w:r>
              <w:rPr>
                <w:rFonts w:hint="eastAsia"/>
                <w:sz w:val="20"/>
                <w:szCs w:val="20"/>
              </w:rPr>
              <w:t xml:space="preserve">5100*2000*2组</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采用SUS304 厚度≥1.2mm不锈钢板。</w:t>
            </w:r>
            <w:r/>
          </w:p>
        </w:tc>
        <w:tc>
          <w:tcPr>
            <w:tcBorders>
              <w:top w:val="none" w:color="000000" w:sz="4" w:space="0"/>
              <w:left w:val="none" w:color="000000" w:sz="4" w:space="0"/>
              <w:bottom w:val="single" w:color="auto" w:sz="4" w:space="0"/>
              <w:right w:val="single" w:color="auto" w:sz="4" w:space="0"/>
            </w:tcBorders>
            <w:tcW w:w="680" w:type="dxa"/>
            <w:vAlign w:val="center"/>
            <w:textDirection w:val="lrTb"/>
            <w:noWrap/>
          </w:tcPr>
          <w:p>
            <w:pPr>
              <w:jc w:val="center"/>
              <w:rPr>
                <w:rFonts w:hint="eastAsia"/>
                <w:sz w:val="20"/>
                <w:szCs w:val="20"/>
              </w:rPr>
            </w:pPr>
            <w:r>
              <w:rPr>
                <w:rFonts w:hint="eastAsia"/>
                <w:sz w:val="20"/>
                <w:szCs w:val="20"/>
              </w:rPr>
              <w:t xml:space="preserve">㎡</w:t>
            </w:r>
            <w:r/>
          </w:p>
        </w:tc>
        <w:tc>
          <w:tcPr>
            <w:tcBorders>
              <w:top w:val="none" w:color="000000" w:sz="4" w:space="0"/>
              <w:left w:val="none" w:color="000000" w:sz="4" w:space="0"/>
              <w:bottom w:val="single" w:color="000000" w:sz="4" w:space="0"/>
              <w:right w:val="single" w:color="000000" w:sz="4" w:space="0"/>
            </w:tcBorders>
            <w:tcW w:w="631" w:type="dxa"/>
            <w:vAlign w:val="center"/>
            <w:textDirection w:val="lrTb"/>
            <w:noWrap/>
          </w:tcPr>
          <w:p>
            <w:pPr>
              <w:jc w:val="center"/>
              <w:rPr>
                <w:rFonts w:hint="eastAsia"/>
                <w:sz w:val="20"/>
                <w:szCs w:val="20"/>
              </w:rPr>
            </w:pPr>
            <w:r>
              <w:rPr>
                <w:rFonts w:hint="eastAsia"/>
                <w:sz w:val="20"/>
                <w:szCs w:val="20"/>
              </w:rPr>
              <w:t xml:space="preserve">20.4</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154</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不锈钢封墙钢3</w:t>
            </w: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tcPr>
          <w:p>
            <w:pPr>
              <w:rPr>
                <w:rFonts w:hint="eastAsia"/>
                <w:sz w:val="20"/>
                <w:szCs w:val="20"/>
              </w:rPr>
            </w:pPr>
            <w:r>
              <w:rPr>
                <w:rFonts w:hint="eastAsia"/>
                <w:sz w:val="20"/>
                <w:szCs w:val="20"/>
              </w:rPr>
              <w:t xml:space="preserve">5500*2000*13组</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采用SUS304 厚度≥1.2mm不锈钢板。</w:t>
            </w:r>
            <w:r/>
          </w:p>
        </w:tc>
        <w:tc>
          <w:tcPr>
            <w:tcBorders>
              <w:top w:val="none" w:color="000000" w:sz="4" w:space="0"/>
              <w:left w:val="none" w:color="000000" w:sz="4" w:space="0"/>
              <w:bottom w:val="single" w:color="auto" w:sz="4" w:space="0"/>
              <w:right w:val="single" w:color="auto" w:sz="4" w:space="0"/>
            </w:tcBorders>
            <w:tcW w:w="680" w:type="dxa"/>
            <w:vAlign w:val="center"/>
            <w:textDirection w:val="lrTb"/>
            <w:noWrap/>
          </w:tcPr>
          <w:p>
            <w:pPr>
              <w:jc w:val="center"/>
              <w:rPr>
                <w:rFonts w:hint="eastAsia"/>
                <w:sz w:val="20"/>
                <w:szCs w:val="20"/>
              </w:rPr>
            </w:pPr>
            <w:r>
              <w:rPr>
                <w:rFonts w:hint="eastAsia"/>
                <w:sz w:val="20"/>
                <w:szCs w:val="20"/>
              </w:rPr>
              <w:t xml:space="preserve">㎡</w:t>
            </w:r>
            <w:r/>
          </w:p>
        </w:tc>
        <w:tc>
          <w:tcPr>
            <w:tcBorders>
              <w:top w:val="none" w:color="000000" w:sz="4" w:space="0"/>
              <w:left w:val="none" w:color="000000" w:sz="4" w:space="0"/>
              <w:bottom w:val="single" w:color="000000" w:sz="4" w:space="0"/>
              <w:right w:val="single" w:color="000000" w:sz="4" w:space="0"/>
            </w:tcBorders>
            <w:tcW w:w="631" w:type="dxa"/>
            <w:vAlign w:val="center"/>
            <w:textDirection w:val="lrTb"/>
            <w:noWrap/>
          </w:tcPr>
          <w:p>
            <w:pPr>
              <w:jc w:val="center"/>
              <w:rPr>
                <w:rFonts w:hint="eastAsia"/>
                <w:sz w:val="20"/>
                <w:szCs w:val="20"/>
              </w:rPr>
            </w:pPr>
            <w:r>
              <w:rPr>
                <w:rFonts w:hint="eastAsia"/>
                <w:sz w:val="20"/>
                <w:szCs w:val="20"/>
              </w:rPr>
              <w:t xml:space="preserve">143</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155</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不锈钢封墙钢4</w:t>
            </w:r>
            <w:r/>
          </w:p>
        </w:tc>
        <w:tc>
          <w:tcPr>
            <w:tcBorders>
              <w:top w:val="none" w:color="000000" w:sz="4" w:space="0"/>
              <w:left w:val="none" w:color="000000" w:sz="4" w:space="0"/>
              <w:bottom w:val="single" w:color="auto" w:sz="4" w:space="0"/>
              <w:right w:val="single" w:color="000000" w:sz="4" w:space="0"/>
            </w:tcBorders>
            <w:tcW w:w="1916" w:type="dxa"/>
            <w:vAlign w:val="center"/>
            <w:textDirection w:val="lrTb"/>
            <w:noWrap/>
          </w:tcPr>
          <w:p>
            <w:pPr>
              <w:rPr>
                <w:rFonts w:hint="eastAsia"/>
                <w:sz w:val="20"/>
                <w:szCs w:val="20"/>
              </w:rPr>
            </w:pPr>
            <w:r>
              <w:rPr>
                <w:rFonts w:hint="eastAsia"/>
                <w:sz w:val="20"/>
                <w:szCs w:val="20"/>
              </w:rPr>
              <w:t xml:space="preserve">6225*2000</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采用SUS304 厚度≥1.2mm不锈钢板。</w:t>
            </w:r>
            <w:r/>
          </w:p>
        </w:tc>
        <w:tc>
          <w:tcPr>
            <w:tcBorders>
              <w:top w:val="none" w:color="000000" w:sz="4" w:space="0"/>
              <w:left w:val="none" w:color="000000" w:sz="4" w:space="0"/>
              <w:bottom w:val="single" w:color="auto" w:sz="4" w:space="0"/>
              <w:right w:val="single" w:color="auto" w:sz="4" w:space="0"/>
            </w:tcBorders>
            <w:tcW w:w="680" w:type="dxa"/>
            <w:vAlign w:val="center"/>
            <w:textDirection w:val="lrTb"/>
            <w:noWrap/>
          </w:tcPr>
          <w:p>
            <w:pPr>
              <w:jc w:val="center"/>
              <w:rPr>
                <w:rFonts w:hint="eastAsia"/>
                <w:sz w:val="20"/>
                <w:szCs w:val="20"/>
              </w:rPr>
            </w:pPr>
            <w:r>
              <w:rPr>
                <w:rFonts w:hint="eastAsia"/>
                <w:sz w:val="20"/>
                <w:szCs w:val="20"/>
              </w:rPr>
              <w:t xml:space="preserve">㎡</w:t>
            </w:r>
            <w:r/>
          </w:p>
        </w:tc>
        <w:tc>
          <w:tcPr>
            <w:tcBorders>
              <w:top w:val="none" w:color="000000" w:sz="4" w:space="0"/>
              <w:left w:val="none" w:color="000000" w:sz="4" w:space="0"/>
              <w:bottom w:val="single" w:color="auto" w:sz="4" w:space="0"/>
              <w:right w:val="none" w:color="000000" w:sz="4" w:space="0"/>
            </w:tcBorders>
            <w:tcW w:w="631" w:type="dxa"/>
            <w:vAlign w:val="center"/>
            <w:textDirection w:val="lrTb"/>
            <w:noWrap/>
          </w:tcPr>
          <w:p>
            <w:pPr>
              <w:jc w:val="center"/>
              <w:rPr>
                <w:rFonts w:hint="eastAsia"/>
                <w:sz w:val="20"/>
                <w:szCs w:val="20"/>
              </w:rPr>
            </w:pPr>
            <w:r>
              <w:rPr>
                <w:rFonts w:hint="eastAsia"/>
                <w:sz w:val="20"/>
                <w:szCs w:val="20"/>
              </w:rPr>
              <w:t xml:space="preserve">12.5</w:t>
            </w:r>
            <w:r/>
          </w:p>
        </w:tc>
        <w:tc>
          <w:tcPr>
            <w:tcBorders>
              <w:top w:val="none" w:color="000000" w:sz="4" w:space="0"/>
              <w:left w:val="single" w:color="auto"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single" w:color="auto"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156</w:t>
            </w:r>
            <w:r/>
          </w:p>
        </w:tc>
        <w:tc>
          <w:tcPr>
            <w:tcBorders>
              <w:top w:val="single" w:color="auto" w:sz="4" w:space="0"/>
              <w:left w:val="single" w:color="auto"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不锈钢封墙钢5</w:t>
            </w:r>
            <w:r/>
          </w:p>
        </w:tc>
        <w:tc>
          <w:tcPr>
            <w:tcBorders>
              <w:top w:val="single" w:color="auto" w:sz="4" w:space="0"/>
              <w:left w:val="single" w:color="auto"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9600*2000</w:t>
            </w:r>
            <w:r/>
          </w:p>
        </w:tc>
        <w:tc>
          <w:tcPr>
            <w:tcBorders>
              <w:top w:val="single" w:color="auto" w:sz="4" w:space="0"/>
              <w:left w:val="single" w:color="auto"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采用SUS304 厚度≥1.2mm不锈钢板。</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tcPr>
          <w:p>
            <w:pPr>
              <w:jc w:val="center"/>
              <w:rPr>
                <w:rFonts w:hint="eastAsia"/>
                <w:sz w:val="20"/>
                <w:szCs w:val="20"/>
              </w:rPr>
            </w:pPr>
            <w:r>
              <w:rPr>
                <w:rFonts w:hint="eastAsia"/>
                <w:sz w:val="20"/>
                <w:szCs w:val="20"/>
              </w:rPr>
              <w:t xml:space="preserve">㎡</w:t>
            </w:r>
            <w:r/>
          </w:p>
        </w:tc>
        <w:tc>
          <w:tcPr>
            <w:tcBorders>
              <w:top w:val="single" w:color="auto" w:sz="4" w:space="0"/>
              <w:left w:val="single" w:color="auto" w:sz="4" w:space="0"/>
              <w:bottom w:val="single" w:color="auto" w:sz="4" w:space="0"/>
              <w:right w:val="single" w:color="auto" w:sz="4" w:space="0"/>
            </w:tcBorders>
            <w:tcW w:w="631" w:type="dxa"/>
            <w:vAlign w:val="center"/>
            <w:textDirection w:val="lrTb"/>
            <w:noWrap/>
          </w:tcPr>
          <w:p>
            <w:pPr>
              <w:jc w:val="center"/>
              <w:rPr>
                <w:rFonts w:hint="eastAsia"/>
                <w:sz w:val="20"/>
                <w:szCs w:val="20"/>
              </w:rPr>
            </w:pPr>
            <w:r>
              <w:rPr>
                <w:rFonts w:hint="eastAsia"/>
                <w:sz w:val="20"/>
                <w:szCs w:val="20"/>
              </w:rPr>
              <w:t xml:space="preserve">19.2</w:t>
            </w:r>
            <w:r/>
          </w:p>
        </w:tc>
        <w:tc>
          <w:tcPr>
            <w:tcBorders>
              <w:top w:val="single" w:color="auto" w:sz="4" w:space="0"/>
              <w:left w:val="single" w:color="auto"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single" w:color="auto" w:sz="4" w:space="0"/>
              <w:left w:val="single" w:color="auto"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single" w:color="auto" w:sz="4" w:space="0"/>
              <w:left w:val="single" w:color="auto"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gridSpan w:val="2"/>
            <w:tcBorders>
              <w:top w:val="single" w:color="auto" w:sz="4" w:space="0"/>
              <w:left w:val="single" w:color="auto" w:sz="4" w:space="0"/>
              <w:bottom w:val="single" w:color="auto" w:sz="4" w:space="0"/>
              <w:right w:val="single" w:color="auto" w:sz="4" w:space="0"/>
            </w:tcBorders>
            <w:tcW w:w="2263" w:type="dxa"/>
            <w:vAlign w:val="center"/>
            <w:textDirection w:val="lrTb"/>
            <w:noWrap/>
          </w:tcPr>
          <w:p>
            <w:pPr>
              <w:rPr>
                <w:rFonts w:hint="eastAsia"/>
                <w:sz w:val="20"/>
                <w:szCs w:val="20"/>
              </w:rPr>
            </w:pPr>
            <w:r>
              <w:rPr>
                <w:rFonts w:hint="eastAsia"/>
                <w:sz w:val="20"/>
                <w:szCs w:val="20"/>
              </w:rPr>
              <w:t xml:space="preserve">总价：</w:t>
            </w:r>
            <w:r/>
          </w:p>
        </w:tc>
        <w:tc>
          <w:tcPr>
            <w:gridSpan w:val="10"/>
            <w:tcBorders>
              <w:top w:val="single" w:color="auto" w:sz="4" w:space="0"/>
              <w:left w:val="none" w:color="000000" w:sz="4" w:space="0"/>
              <w:bottom w:val="single" w:color="auto" w:sz="4" w:space="0"/>
              <w:right w:val="single" w:color="auto" w:sz="4" w:space="0"/>
            </w:tcBorders>
            <w:tcW w:w="12758" w:type="dxa"/>
            <w:vAlign w:val="center"/>
            <w:textDirection w:val="lrTb"/>
            <w:noWrap/>
          </w:tcPr>
          <w:p>
            <w:pPr>
              <w:jc w:val="center"/>
              <w:rPr>
                <w:rFonts w:hint="eastAsia" w:ascii="等线" w:hAnsi="等线" w:eastAsia="等线"/>
              </w:rPr>
            </w:pPr>
            <w:r>
              <w:rPr>
                <w:rFonts w:hint="eastAsia" w:ascii="等线" w:hAnsi="等线" w:eastAsia="等线"/>
              </w:rPr>
            </w:r>
            <w:r/>
          </w:p>
        </w:tc>
      </w:tr>
    </w:tbl>
    <w:p>
      <w:pPr>
        <w:spacing w:line="360" w:lineRule="auto"/>
        <w:rPr>
          <w:rFonts w:hint="eastAsia"/>
          <w:b/>
          <w:bCs/>
          <w:u w:val="single"/>
        </w:rPr>
      </w:pPr>
      <w:r>
        <w:rPr>
          <w:rFonts w:hint="eastAsia"/>
          <w:b/>
          <w:bCs/>
          <w:u w:val="single"/>
        </w:rPr>
        <w:t xml:space="preserve">注：</w:t>
      </w:r>
      <w:r/>
    </w:p>
    <w:p>
      <w:pPr>
        <w:spacing w:line="360" w:lineRule="auto"/>
        <w:rPr>
          <w:rFonts w:hint="eastAsia"/>
          <w:b/>
          <w:bCs/>
          <w:u w:val="single"/>
        </w:rPr>
      </w:pPr>
      <w:r>
        <w:rPr>
          <w:rFonts w:hint="eastAsia"/>
          <w:b/>
          <w:bCs/>
          <w:u w:val="single"/>
        </w:rPr>
        <w:t xml:space="preserve">1、</w:t>
      </w:r>
      <w:r>
        <w:rPr>
          <w:b/>
          <w:bCs/>
          <w:u w:val="single"/>
        </w:rPr>
        <w:t xml:space="preserve">如果不提供</w:t>
      </w:r>
      <w:r>
        <w:rPr>
          <w:rFonts w:hint="eastAsia"/>
          <w:b/>
          <w:bCs/>
          <w:u w:val="single"/>
        </w:rPr>
        <w:t xml:space="preserve">明细</w:t>
      </w:r>
      <w:r>
        <w:rPr>
          <w:b/>
          <w:bCs/>
          <w:u w:val="single"/>
        </w:rPr>
        <w:t xml:space="preserve">报价将视为没有实质性响应</w:t>
      </w:r>
      <w:r>
        <w:rPr>
          <w:rFonts w:hint="eastAsia"/>
          <w:b/>
          <w:bCs/>
          <w:u w:val="single"/>
        </w:rPr>
        <w:t xml:space="preserve">招标</w:t>
      </w:r>
      <w:r>
        <w:rPr>
          <w:b/>
          <w:bCs/>
          <w:u w:val="single"/>
        </w:rPr>
        <w:t xml:space="preserve">文件。</w:t>
      </w:r>
      <w:r/>
    </w:p>
    <w:p>
      <w:pPr>
        <w:pStyle w:val="907"/>
        <w:spacing w:line="360" w:lineRule="auto"/>
        <w:rPr>
          <w:rFonts w:hint="eastAsia"/>
          <w:color w:val="auto"/>
          <w:lang w:val="zh-CN"/>
        </w:rPr>
      </w:pPr>
      <w:r>
        <w:rPr>
          <w:rFonts w:hint="eastAsia" w:cs="宋体"/>
          <w:b/>
          <w:bCs/>
          <w:color w:val="auto"/>
          <w:u w:val="single"/>
        </w:rPr>
        <w:t xml:space="preserve">2</w:t>
      </w:r>
      <w:r>
        <w:rPr>
          <w:rFonts w:hint="eastAsia" w:cs="宋体"/>
          <w:b/>
          <w:bCs/>
          <w:color w:val="auto"/>
          <w:u w:val="single"/>
        </w:rPr>
        <w:t xml:space="preserve">、本表行数可以按照项目分项情况增加。各项的详细规格、技术参数如表格中填写不下的，可以逐项另页描述。</w:t>
      </w:r>
      <w:r>
        <w:rPr>
          <w:rFonts w:cs="宋体"/>
          <w:b/>
          <w:bCs/>
          <w:color w:val="auto"/>
          <w:u w:val="single"/>
          <w:lang w:val="zh-CN"/>
        </w:rPr>
        <w:t xml:space="preserve"> </w:t>
      </w:r>
      <w:r>
        <w:rPr>
          <w:color w:val="auto"/>
          <w:lang w:val="zh-CN"/>
        </w:rPr>
        <w:t xml:space="preserve"> </w:t>
      </w:r>
      <w:r/>
    </w:p>
    <w:p>
      <w:pPr>
        <w:pStyle w:val="907"/>
        <w:spacing w:line="360" w:lineRule="auto"/>
        <w:rPr>
          <w:rFonts w:hint="eastAsia" w:cs="宋体"/>
          <w:b/>
          <w:bCs/>
          <w:color w:val="auto"/>
          <w:u w:val="single"/>
        </w:rPr>
      </w:pPr>
      <w:r>
        <w:rPr>
          <w:rFonts w:hint="eastAsia" w:cs="宋体"/>
          <w:b/>
          <w:bCs/>
          <w:color w:val="auto"/>
          <w:u w:val="single"/>
        </w:rPr>
        <w:t xml:space="preserve">3</w:t>
      </w:r>
      <w:r>
        <w:rPr>
          <w:rFonts w:hint="eastAsia" w:cs="宋体"/>
          <w:b/>
          <w:bCs/>
          <w:color w:val="auto"/>
          <w:u w:val="single"/>
        </w:rPr>
        <w:t xml:space="preserve">、本项目采购文件清单中所涉及的所有产品名称以及外购品尺寸仅做参考，采购文件清单中供应商所投产品需满足采购文件技术参数要求。</w:t>
      </w:r>
      <w:r>
        <w:rPr>
          <w:rFonts w:cs="宋体"/>
          <w:b/>
          <w:bCs/>
          <w:color w:val="auto"/>
          <w:u w:val="single"/>
        </w:rPr>
        <w:t xml:space="preserve"> </w:t>
      </w:r>
      <w:r/>
    </w:p>
    <w:p>
      <w:pPr>
        <w:spacing w:before="25" w:after="25" w:line="360" w:lineRule="auto"/>
        <w:rPr>
          <w:rFonts w:hint="eastAsia" w:cs="楷体"/>
        </w:rPr>
      </w:pPr>
      <w:r>
        <w:rPr>
          <w:rFonts w:cs="楷体"/>
        </w:rPr>
        <w:t xml:space="preserve">                                </w:t>
      </w:r>
      <w:r>
        <w:rPr>
          <w:rFonts w:hint="eastAsia" w:cs="楷体"/>
        </w:rPr>
        <w:t xml:space="preserve">                                    </w:t>
      </w:r>
      <w:r>
        <w:rPr>
          <w:rFonts w:cs="楷体"/>
        </w:rPr>
        <w:t xml:space="preserve">  </w:t>
      </w:r>
      <w:r>
        <w:rPr>
          <w:rFonts w:hint="eastAsia"/>
          <w:bCs/>
        </w:rPr>
        <w:t xml:space="preserve">投标单位名称：</w:t>
      </w:r>
      <w:r>
        <w:rPr>
          <w:rFonts w:hint="eastAsia" w:cs="楷体"/>
        </w:rPr>
        <w:t xml:space="preserve">（加盖CA电子公章） </w:t>
      </w:r>
      <w:r>
        <w:rPr>
          <w:rFonts w:hint="eastAsia"/>
          <w:bCs/>
        </w:rPr>
        <w:t xml:space="preserve"> </w:t>
      </w:r>
      <w:r>
        <w:rPr>
          <w:rFonts w:hint="eastAsia" w:cs="楷体"/>
        </w:rPr>
        <w:t xml:space="preserve"> </w:t>
      </w:r>
      <w:r/>
    </w:p>
    <w:p>
      <w:pPr>
        <w:jc w:val="center"/>
        <w:spacing w:line="400" w:lineRule="exact"/>
        <w:rPr>
          <w:rFonts w:hint="eastAsia" w:cs="楷体"/>
        </w:rPr>
      </w:pPr>
      <w:r>
        <w:rPr>
          <w:rFonts w:hint="eastAsia" w:cs="楷体"/>
        </w:rPr>
        <w:t xml:space="preserve">     </w:t>
      </w:r>
      <w:r>
        <w:rPr>
          <w:rFonts w:cs="楷体"/>
        </w:rPr>
        <w:t xml:space="preserve">                </w:t>
      </w:r>
      <w:r>
        <w:rPr>
          <w:rFonts w:hint="eastAsia" w:cs="楷体"/>
        </w:rPr>
        <w:t xml:space="preserve">                        </w:t>
      </w:r>
      <w:r>
        <w:rPr>
          <w:rFonts w:cs="楷体"/>
        </w:rPr>
        <w:t xml:space="preserve">   </w:t>
      </w:r>
      <w:r>
        <w:rPr>
          <w:rFonts w:hint="eastAsia" w:cs="楷体"/>
        </w:rPr>
        <w:t xml:space="preserve">日期：     年    月    日</w:t>
      </w:r>
      <w:bookmarkEnd w:id="503"/>
      <w:r/>
    </w:p>
    <w:p>
      <w:pPr>
        <w:pStyle w:val="907"/>
        <w:rPr>
          <w:rFonts w:hint="eastAsia" w:ascii="宋体" w:hAnsi="宋体"/>
          <w:color w:val="auto"/>
        </w:rPr>
        <w:sectPr>
          <w:headerReference w:type="default" r:id="rId12"/>
          <w:footnotePr/>
          <w:endnotePr/>
          <w:type w:val="nextPage"/>
          <w:pgSz w:w="16838" w:h="11906" w:orient="landscape"/>
          <w:pgMar w:top="720" w:right="720" w:bottom="720" w:left="720" w:header="851" w:footer="992" w:gutter="0"/>
          <w:cols w:num="1" w:sep="0" w:space="720" w:equalWidth="1"/>
          <w:docGrid w:linePitch="360"/>
        </w:sectPr>
      </w:pPr>
      <w:r>
        <w:rPr>
          <w:rFonts w:hint="eastAsia" w:ascii="宋体" w:hAnsi="宋体"/>
          <w:color w:val="auto"/>
        </w:rPr>
      </w:r>
      <w:r/>
    </w:p>
    <w:p>
      <w:pPr>
        <w:pStyle w:val="896"/>
        <w:ind w:firstLine="1806"/>
        <w:jc w:val="both"/>
        <w:rPr>
          <w:rFonts w:hint="eastAsia" w:ascii="宋体" w:hAnsi="宋体" w:eastAsia="宋体"/>
          <w:spacing w:val="20"/>
          <w:sz w:val="32"/>
          <w:szCs w:val="32"/>
        </w:rPr>
      </w:pPr>
      <w:r/>
      <w:bookmarkStart w:id="504" w:name="_Toc152683417"/>
      <w:r/>
      <w:bookmarkStart w:id="505" w:name="_Toc152683577"/>
      <w:r/>
      <w:bookmarkStart w:id="506" w:name="_Toc197636589"/>
      <w:r/>
      <w:bookmarkStart w:id="507" w:name="_Toc197636641"/>
      <w:r>
        <w:rPr>
          <w:rFonts w:hint="eastAsia" w:ascii="宋体" w:hAnsi="宋体" w:eastAsia="宋体"/>
          <w:spacing w:val="20"/>
          <w:sz w:val="32"/>
          <w:szCs w:val="32"/>
        </w:rPr>
        <w:t xml:space="preserve">四</w:t>
      </w:r>
      <w:r>
        <w:rPr>
          <w:rFonts w:hint="eastAsia" w:ascii="宋体" w:hAnsi="宋体" w:eastAsia="宋体"/>
          <w:spacing w:val="20"/>
          <w:sz w:val="32"/>
          <w:szCs w:val="32"/>
        </w:rPr>
        <w:t xml:space="preserve">、中小企业声明函</w:t>
      </w:r>
      <w:r>
        <w:rPr>
          <w:rFonts w:ascii="宋体" w:hAnsi="宋体" w:eastAsia="宋体"/>
          <w:spacing w:val="20"/>
          <w:sz w:val="32"/>
          <w:szCs w:val="32"/>
        </w:rPr>
        <w:t xml:space="preserve">（实质性格式）</w:t>
      </w:r>
      <w:bookmarkEnd w:id="504"/>
      <w:r/>
      <w:bookmarkEnd w:id="505"/>
      <w:r/>
      <w:bookmarkEnd w:id="506"/>
      <w:r/>
      <w:bookmarkEnd w:id="507"/>
      <w:r/>
      <w:r/>
    </w:p>
    <w:p>
      <w:pPr>
        <w:ind w:firstLine="2570"/>
        <w:spacing w:line="360" w:lineRule="auto"/>
        <w:rPr>
          <w:rFonts w:hint="eastAsia" w:cs="楷体"/>
          <w:b/>
          <w:sz w:val="32"/>
          <w:szCs w:val="32"/>
        </w:rPr>
      </w:pPr>
      <w:r/>
      <w:bookmarkStart w:id="508" w:name="_Hlk214107600"/>
      <w:r/>
      <w:bookmarkStart w:id="509" w:name="_Hlk214107658"/>
      <w:r/>
      <w:bookmarkStart w:id="510" w:name="_Toc311189788"/>
      <w:r>
        <w:rPr>
          <w:rFonts w:hint="eastAsia" w:cs="楷体"/>
          <w:b/>
          <w:sz w:val="32"/>
          <w:szCs w:val="32"/>
        </w:rPr>
        <w:t xml:space="preserve">中小企业声明函(货物)</w:t>
      </w:r>
      <w:r/>
    </w:p>
    <w:p>
      <w:pPr>
        <w:ind w:firstLine="480"/>
        <w:spacing w:line="440" w:lineRule="exact"/>
        <w:rPr>
          <w:rFonts w:hint="eastAsia" w:cs="楷体"/>
        </w:rPr>
      </w:pPr>
      <w:r>
        <w:rPr>
          <w:rFonts w:hint="eastAsia" w:cs="楷体"/>
        </w:rPr>
        <w:t xml:space="preserve">本公司（联合体）郑重申明,根据《政府采购促进中小企业发展管理办法》（财库【2020】46号）的规定，本公司（联合体）参加</w:t>
      </w:r>
      <w:r>
        <w:rPr>
          <w:rFonts w:hint="eastAsia" w:cs="楷体"/>
          <w:u w:val="single"/>
        </w:rPr>
        <w:t xml:space="preserve"> 常州市武进绿色建筑产业集聚示范区管理委员会</w:t>
      </w:r>
      <w:r>
        <w:rPr>
          <w:rFonts w:hint="eastAsia" w:cs="楷体"/>
        </w:rPr>
        <w:t xml:space="preserve">（采购单位名称）的</w:t>
      </w:r>
      <w:r>
        <w:rPr>
          <w:rFonts w:hint="eastAsia" w:cs="楷体"/>
          <w:u w:val="single"/>
        </w:rPr>
        <w:t xml:space="preserve">江苏理工学院武进绿建区协同创新园新建工程二期项目9号楼、33号楼厨房设备采购（一包）</w:t>
      </w:r>
      <w:r>
        <w:rPr>
          <w:rFonts w:hint="eastAsia" w:cs="楷体"/>
        </w:rPr>
        <w:t xml:space="preserve">（项目名称）采购活动，提供的货物全部由符合政策要求的中小企业制造。相关企业（含联合体中的中小企业、签订分包意向协议的中小企业）的具体情况如下：</w:t>
      </w:r>
      <w:r/>
    </w:p>
    <w:p>
      <w:pPr>
        <w:pStyle w:val="1146"/>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w:t>
      </w:r>
      <w:r>
        <w:rPr>
          <w:rFonts w:hint="eastAsia" w:ascii="宋体" w:hAnsi="宋体" w:eastAsia="宋体" w:cs="楷体"/>
          <w:sz w:val="24"/>
          <w:szCs w:val="24"/>
          <w:u w:val="single"/>
        </w:rPr>
        <w:t xml:space="preserve">厨房灭火系统1</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bookmarkEnd w:id="508"/>
      <w:r/>
    </w:p>
    <w:p>
      <w:pPr>
        <w:pStyle w:val="1146"/>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2、</w:t>
      </w:r>
      <w:r>
        <w:rPr>
          <w:rFonts w:hint="eastAsia" w:ascii="宋体" w:hAnsi="宋体" w:eastAsia="宋体" w:cs="楷体"/>
          <w:sz w:val="24"/>
          <w:szCs w:val="24"/>
          <w:u w:val="single"/>
        </w:rPr>
        <w:t xml:space="preserve">厨房灭火系统2</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3、</w:t>
      </w:r>
      <w:r>
        <w:rPr>
          <w:rFonts w:hint="eastAsia" w:ascii="宋体" w:hAnsi="宋体" w:eastAsia="宋体" w:cs="楷体"/>
          <w:sz w:val="24"/>
          <w:szCs w:val="24"/>
          <w:u w:val="single"/>
        </w:rPr>
        <w:t xml:space="preserve">厨房灭火系统3</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4、</w:t>
      </w:r>
      <w:r>
        <w:rPr>
          <w:rFonts w:hint="eastAsia" w:ascii="宋体" w:hAnsi="宋体" w:eastAsia="宋体" w:cs="楷体"/>
          <w:sz w:val="24"/>
          <w:szCs w:val="24"/>
          <w:u w:val="single"/>
        </w:rPr>
        <w:t xml:space="preserve">四层冲孔货架1</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5、</w:t>
      </w:r>
      <w:r>
        <w:rPr>
          <w:rFonts w:hint="eastAsia" w:ascii="宋体" w:hAnsi="宋体" w:eastAsia="宋体" w:cs="楷体"/>
          <w:sz w:val="24"/>
          <w:szCs w:val="24"/>
          <w:u w:val="single"/>
        </w:rPr>
        <w:t xml:space="preserve">四层冲孔货架2</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6、</w:t>
      </w:r>
      <w:r>
        <w:rPr>
          <w:rFonts w:hint="eastAsia" w:ascii="宋体" w:hAnsi="宋体" w:eastAsia="宋体" w:cs="楷体"/>
          <w:sz w:val="24"/>
          <w:szCs w:val="24"/>
          <w:u w:val="single"/>
        </w:rPr>
        <w:t xml:space="preserve">四层冲孔货架3</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7、</w:t>
      </w:r>
      <w:r>
        <w:rPr>
          <w:rFonts w:hint="eastAsia" w:ascii="宋体" w:hAnsi="宋体" w:eastAsia="宋体" w:cs="楷体"/>
          <w:sz w:val="24"/>
          <w:szCs w:val="24"/>
          <w:u w:val="single"/>
        </w:rPr>
        <w:t xml:space="preserve">四层冲孔货架4</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8、</w:t>
      </w:r>
      <w:r>
        <w:rPr>
          <w:rFonts w:hint="eastAsia" w:ascii="宋体" w:hAnsi="宋体" w:eastAsia="宋体" w:cs="楷体"/>
          <w:sz w:val="24"/>
          <w:szCs w:val="24"/>
          <w:u w:val="single"/>
        </w:rPr>
        <w:t xml:space="preserve">四层平板货架1</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9、</w:t>
      </w:r>
      <w:r>
        <w:rPr>
          <w:rFonts w:hint="eastAsia" w:ascii="宋体" w:hAnsi="宋体" w:eastAsia="宋体" w:cs="楷体"/>
          <w:sz w:val="24"/>
          <w:szCs w:val="24"/>
          <w:u w:val="single"/>
        </w:rPr>
        <w:t xml:space="preserve">四层平板货架2</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10、</w:t>
      </w:r>
      <w:r>
        <w:rPr>
          <w:rFonts w:hint="eastAsia" w:ascii="宋体" w:hAnsi="宋体" w:eastAsia="宋体" w:cs="楷体"/>
          <w:sz w:val="24"/>
          <w:szCs w:val="24"/>
          <w:u w:val="single"/>
        </w:rPr>
        <w:t xml:space="preserve">米面架1</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11、</w:t>
      </w:r>
      <w:r>
        <w:rPr>
          <w:rFonts w:hint="eastAsia" w:ascii="宋体" w:hAnsi="宋体" w:eastAsia="宋体" w:cs="楷体"/>
          <w:sz w:val="24"/>
          <w:szCs w:val="24"/>
          <w:u w:val="single"/>
        </w:rPr>
        <w:t xml:space="preserve">米面架2</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12、</w:t>
      </w:r>
      <w:r>
        <w:rPr>
          <w:rFonts w:hint="eastAsia" w:ascii="宋体" w:hAnsi="宋体" w:eastAsia="宋体" w:cs="楷体"/>
          <w:sz w:val="24"/>
          <w:szCs w:val="24"/>
          <w:u w:val="single"/>
        </w:rPr>
        <w:t xml:space="preserve">双层工作台1</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13、</w:t>
      </w:r>
      <w:r>
        <w:rPr>
          <w:rFonts w:hint="eastAsia" w:ascii="宋体" w:hAnsi="宋体" w:eastAsia="宋体" w:cs="楷体"/>
          <w:sz w:val="24"/>
          <w:szCs w:val="24"/>
          <w:u w:val="single"/>
        </w:rPr>
        <w:t xml:space="preserve">双层工作台2</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14、</w:t>
      </w:r>
      <w:r>
        <w:rPr>
          <w:rFonts w:hint="eastAsia" w:ascii="宋体" w:hAnsi="宋体" w:eastAsia="宋体" w:cs="楷体"/>
          <w:sz w:val="24"/>
          <w:szCs w:val="24"/>
          <w:u w:val="single"/>
        </w:rPr>
        <w:t xml:space="preserve">双层工作台3</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15、</w:t>
      </w:r>
      <w:r>
        <w:rPr>
          <w:rFonts w:hint="eastAsia" w:ascii="宋体" w:hAnsi="宋体" w:eastAsia="宋体" w:cs="楷体"/>
          <w:sz w:val="24"/>
          <w:szCs w:val="24"/>
          <w:u w:val="single"/>
        </w:rPr>
        <w:t xml:space="preserve">双层工作台4</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16、</w:t>
      </w:r>
      <w:r>
        <w:rPr>
          <w:rFonts w:hint="eastAsia" w:ascii="宋体" w:hAnsi="宋体" w:eastAsia="宋体" w:cs="楷体"/>
          <w:sz w:val="24"/>
          <w:szCs w:val="24"/>
          <w:u w:val="single"/>
        </w:rPr>
        <w:t xml:space="preserve">双层工作台5</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17、</w:t>
      </w:r>
      <w:r>
        <w:rPr>
          <w:rFonts w:hint="eastAsia" w:ascii="宋体" w:hAnsi="宋体" w:eastAsia="宋体" w:cs="楷体"/>
          <w:sz w:val="24"/>
          <w:szCs w:val="24"/>
          <w:u w:val="single"/>
        </w:rPr>
        <w:t xml:space="preserve">双层工作台6</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18、</w:t>
      </w:r>
      <w:r>
        <w:rPr>
          <w:rFonts w:hint="eastAsia" w:ascii="宋体" w:hAnsi="宋体" w:eastAsia="宋体" w:cs="楷体"/>
          <w:sz w:val="24"/>
          <w:szCs w:val="24"/>
          <w:u w:val="single"/>
        </w:rPr>
        <w:t xml:space="preserve">双层工作台7</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19、</w:t>
      </w:r>
      <w:r>
        <w:rPr>
          <w:rFonts w:hint="eastAsia" w:ascii="宋体" w:hAnsi="宋体" w:eastAsia="宋体" w:cs="楷体"/>
          <w:sz w:val="24"/>
          <w:szCs w:val="24"/>
          <w:u w:val="single"/>
        </w:rPr>
        <w:t xml:space="preserve">双层工作台8</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20、</w:t>
      </w:r>
      <w:r>
        <w:rPr>
          <w:rFonts w:hint="eastAsia" w:ascii="宋体" w:hAnsi="宋体" w:eastAsia="宋体" w:cs="楷体"/>
          <w:sz w:val="24"/>
          <w:szCs w:val="24"/>
          <w:u w:val="single"/>
        </w:rPr>
        <w:t xml:space="preserve">双层工作台9</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21、</w:t>
      </w:r>
      <w:r>
        <w:rPr>
          <w:rFonts w:hint="eastAsia" w:ascii="宋体" w:hAnsi="宋体" w:eastAsia="宋体" w:cs="楷体"/>
          <w:sz w:val="24"/>
          <w:szCs w:val="24"/>
          <w:u w:val="single"/>
        </w:rPr>
        <w:t xml:space="preserve">双层工作台10</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22、</w:t>
      </w:r>
      <w:r>
        <w:rPr>
          <w:rFonts w:hint="eastAsia" w:ascii="宋体" w:hAnsi="宋体" w:eastAsia="宋体" w:cs="楷体"/>
          <w:sz w:val="24"/>
          <w:szCs w:val="24"/>
          <w:u w:val="single"/>
        </w:rPr>
        <w:t xml:space="preserve">双层工作台11</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23、</w:t>
      </w:r>
      <w:r>
        <w:rPr>
          <w:rFonts w:hint="eastAsia" w:ascii="宋体" w:hAnsi="宋体" w:eastAsia="宋体" w:cs="楷体"/>
          <w:sz w:val="24"/>
          <w:szCs w:val="24"/>
          <w:u w:val="single"/>
        </w:rPr>
        <w:t xml:space="preserve">双层工作台12</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24、</w:t>
      </w:r>
      <w:r>
        <w:rPr>
          <w:rFonts w:hint="eastAsia" w:ascii="宋体" w:hAnsi="宋体" w:eastAsia="宋体" w:cs="楷体"/>
          <w:sz w:val="24"/>
          <w:szCs w:val="24"/>
          <w:u w:val="single"/>
        </w:rPr>
        <w:t xml:space="preserve">双层工作台13</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25、</w:t>
      </w:r>
      <w:r>
        <w:rPr>
          <w:rFonts w:hint="eastAsia" w:ascii="宋体" w:hAnsi="宋体" w:eastAsia="宋体" w:cs="楷体"/>
          <w:sz w:val="24"/>
          <w:szCs w:val="24"/>
          <w:u w:val="single"/>
        </w:rPr>
        <w:t xml:space="preserve">活动双层工作台</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26、</w:t>
      </w:r>
      <w:r>
        <w:rPr>
          <w:rFonts w:hint="eastAsia" w:ascii="宋体" w:hAnsi="宋体" w:eastAsia="宋体" w:cs="楷体"/>
          <w:sz w:val="24"/>
          <w:szCs w:val="24"/>
          <w:u w:val="single"/>
        </w:rPr>
        <w:t xml:space="preserve">单通工作台柜1</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27、</w:t>
      </w:r>
      <w:r>
        <w:rPr>
          <w:rFonts w:hint="eastAsia" w:ascii="宋体" w:hAnsi="宋体" w:eastAsia="宋体" w:cs="楷体"/>
          <w:sz w:val="24"/>
          <w:szCs w:val="24"/>
          <w:u w:val="single"/>
        </w:rPr>
        <w:t xml:space="preserve">单通工作台柜2</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28、</w:t>
      </w:r>
      <w:r>
        <w:rPr>
          <w:rFonts w:hint="eastAsia" w:ascii="宋体" w:hAnsi="宋体" w:eastAsia="宋体" w:cs="楷体"/>
          <w:sz w:val="24"/>
          <w:szCs w:val="24"/>
          <w:u w:val="single"/>
        </w:rPr>
        <w:t xml:space="preserve">单通工作台柜3</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29、</w:t>
      </w:r>
      <w:r>
        <w:rPr>
          <w:rFonts w:hint="eastAsia" w:ascii="宋体" w:hAnsi="宋体" w:eastAsia="宋体" w:cs="楷体"/>
          <w:sz w:val="24"/>
          <w:szCs w:val="24"/>
          <w:u w:val="single"/>
        </w:rPr>
        <w:t xml:space="preserve">单通工作台柜4</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30、</w:t>
      </w:r>
      <w:r>
        <w:rPr>
          <w:rFonts w:hint="eastAsia" w:ascii="宋体" w:hAnsi="宋体" w:eastAsia="宋体" w:cs="楷体"/>
          <w:sz w:val="24"/>
          <w:szCs w:val="24"/>
          <w:u w:val="single"/>
        </w:rPr>
        <w:t xml:space="preserve">单通工作台柜5</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31、</w:t>
      </w:r>
      <w:r>
        <w:rPr>
          <w:rFonts w:hint="eastAsia" w:ascii="宋体" w:hAnsi="宋体" w:eastAsia="宋体" w:cs="楷体"/>
          <w:sz w:val="24"/>
          <w:szCs w:val="24"/>
          <w:u w:val="single"/>
        </w:rPr>
        <w:t xml:space="preserve">工作台柜1</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32、</w:t>
      </w:r>
      <w:r>
        <w:rPr>
          <w:rFonts w:hint="eastAsia" w:ascii="宋体" w:hAnsi="宋体" w:eastAsia="宋体" w:cs="楷体"/>
          <w:sz w:val="24"/>
          <w:szCs w:val="24"/>
          <w:u w:val="single"/>
        </w:rPr>
        <w:t xml:space="preserve">工作台柜2</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33、</w:t>
      </w:r>
      <w:r>
        <w:rPr>
          <w:rFonts w:hint="eastAsia" w:ascii="宋体" w:hAnsi="宋体" w:eastAsia="宋体" w:cs="楷体"/>
          <w:sz w:val="24"/>
          <w:szCs w:val="24"/>
          <w:u w:val="single"/>
        </w:rPr>
        <w:t xml:space="preserve">木案工作台</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34、</w:t>
      </w:r>
      <w:r>
        <w:rPr>
          <w:rFonts w:hint="eastAsia" w:ascii="宋体" w:hAnsi="宋体" w:eastAsia="宋体" w:cs="楷体"/>
          <w:sz w:val="24"/>
          <w:szCs w:val="24"/>
          <w:u w:val="single"/>
        </w:rPr>
        <w:t xml:space="preserve">双通工作台柜1</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35、</w:t>
      </w:r>
      <w:r>
        <w:rPr>
          <w:rFonts w:hint="eastAsia" w:ascii="宋体" w:hAnsi="宋体" w:eastAsia="宋体" w:cs="楷体"/>
          <w:sz w:val="24"/>
          <w:szCs w:val="24"/>
          <w:u w:val="single"/>
        </w:rPr>
        <w:t xml:space="preserve">双通工作台柜2</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36、</w:t>
      </w:r>
      <w:r>
        <w:rPr>
          <w:rFonts w:hint="eastAsia" w:ascii="宋体" w:hAnsi="宋体" w:eastAsia="宋体" w:cs="楷体"/>
          <w:sz w:val="24"/>
          <w:szCs w:val="24"/>
          <w:u w:val="single"/>
        </w:rPr>
        <w:t xml:space="preserve">双孔收餐工作台</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37、</w:t>
      </w:r>
      <w:r>
        <w:rPr>
          <w:rFonts w:hint="eastAsia" w:ascii="宋体" w:hAnsi="宋体" w:eastAsia="宋体" w:cs="楷体"/>
          <w:sz w:val="24"/>
          <w:szCs w:val="24"/>
          <w:u w:val="single"/>
        </w:rPr>
        <w:t xml:space="preserve">洗手星</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38、</w:t>
      </w:r>
      <w:r>
        <w:rPr>
          <w:rFonts w:hint="eastAsia" w:ascii="宋体" w:hAnsi="宋体" w:eastAsia="宋体" w:cs="楷体"/>
          <w:sz w:val="24"/>
          <w:szCs w:val="24"/>
          <w:u w:val="single"/>
        </w:rPr>
        <w:t xml:space="preserve">双星洗手星</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39、</w:t>
      </w:r>
      <w:r>
        <w:rPr>
          <w:rFonts w:hint="eastAsia" w:ascii="宋体" w:hAnsi="宋体" w:eastAsia="宋体" w:cs="楷体"/>
          <w:sz w:val="24"/>
          <w:szCs w:val="24"/>
          <w:u w:val="single"/>
        </w:rPr>
        <w:t xml:space="preserve">大单星盆水池1</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40、</w:t>
      </w:r>
      <w:r>
        <w:rPr>
          <w:rFonts w:hint="eastAsia" w:ascii="宋体" w:hAnsi="宋体" w:eastAsia="宋体" w:cs="楷体"/>
          <w:sz w:val="24"/>
          <w:szCs w:val="24"/>
          <w:u w:val="single"/>
        </w:rPr>
        <w:t xml:space="preserve">大单星盆水池2</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41、</w:t>
      </w:r>
      <w:r>
        <w:rPr>
          <w:rFonts w:hint="eastAsia" w:ascii="宋体" w:hAnsi="宋体" w:eastAsia="宋体" w:cs="楷体"/>
          <w:sz w:val="24"/>
          <w:szCs w:val="24"/>
          <w:u w:val="single"/>
        </w:rPr>
        <w:t xml:space="preserve">大单星盆水池3</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42、</w:t>
      </w:r>
      <w:r>
        <w:rPr>
          <w:rFonts w:hint="eastAsia" w:ascii="宋体" w:hAnsi="宋体" w:eastAsia="宋体" w:cs="楷体"/>
          <w:sz w:val="24"/>
          <w:szCs w:val="24"/>
          <w:u w:val="single"/>
        </w:rPr>
        <w:t xml:space="preserve">大单星盆水池4</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43、</w:t>
      </w:r>
      <w:r>
        <w:rPr>
          <w:rFonts w:hint="eastAsia" w:ascii="宋体" w:hAnsi="宋体" w:eastAsia="宋体" w:cs="楷体"/>
          <w:sz w:val="24"/>
          <w:szCs w:val="24"/>
          <w:u w:val="single"/>
        </w:rPr>
        <w:t xml:space="preserve">单星盆水池</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44、</w:t>
      </w:r>
      <w:r>
        <w:rPr>
          <w:rFonts w:hint="eastAsia" w:ascii="宋体" w:hAnsi="宋体" w:eastAsia="宋体" w:cs="楷体"/>
          <w:sz w:val="24"/>
          <w:szCs w:val="24"/>
          <w:u w:val="single"/>
        </w:rPr>
        <w:t xml:space="preserve">单星盆水池柜1</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45、</w:t>
      </w:r>
      <w:r>
        <w:rPr>
          <w:rFonts w:hint="eastAsia" w:ascii="宋体" w:hAnsi="宋体" w:eastAsia="宋体" w:cs="楷体"/>
          <w:sz w:val="24"/>
          <w:szCs w:val="24"/>
          <w:u w:val="single"/>
        </w:rPr>
        <w:t xml:space="preserve">单星盆水池柜2</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46、</w:t>
      </w:r>
      <w:r>
        <w:rPr>
          <w:rFonts w:hint="eastAsia" w:ascii="宋体" w:hAnsi="宋体" w:eastAsia="宋体" w:cs="楷体"/>
          <w:sz w:val="24"/>
          <w:szCs w:val="24"/>
          <w:u w:val="single"/>
        </w:rPr>
        <w:t xml:space="preserve">双星盆水池1</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47、</w:t>
      </w:r>
      <w:r>
        <w:rPr>
          <w:rFonts w:hint="eastAsia" w:ascii="宋体" w:hAnsi="宋体" w:eastAsia="宋体" w:cs="楷体"/>
          <w:sz w:val="24"/>
          <w:szCs w:val="24"/>
          <w:u w:val="single"/>
        </w:rPr>
        <w:t xml:space="preserve">双星盆水池2</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48、</w:t>
      </w:r>
      <w:r>
        <w:rPr>
          <w:rFonts w:hint="eastAsia" w:ascii="宋体" w:hAnsi="宋体" w:eastAsia="宋体" w:cs="楷体"/>
          <w:sz w:val="24"/>
          <w:szCs w:val="24"/>
          <w:u w:val="single"/>
        </w:rPr>
        <w:t xml:space="preserve">双星盆水池3</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49、</w:t>
      </w:r>
      <w:r>
        <w:rPr>
          <w:rFonts w:hint="eastAsia" w:ascii="宋体" w:hAnsi="宋体" w:eastAsia="宋体" w:cs="楷体"/>
          <w:sz w:val="24"/>
          <w:szCs w:val="24"/>
          <w:u w:val="single"/>
        </w:rPr>
        <w:t xml:space="preserve">双星盆水池4</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50、</w:t>
      </w:r>
      <w:r>
        <w:rPr>
          <w:rFonts w:hint="eastAsia" w:ascii="宋体" w:hAnsi="宋体" w:eastAsia="宋体" w:cs="楷体"/>
          <w:sz w:val="24"/>
          <w:szCs w:val="24"/>
          <w:u w:val="single"/>
        </w:rPr>
        <w:t xml:space="preserve">双星水池柜</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51、</w:t>
      </w:r>
      <w:r>
        <w:rPr>
          <w:rFonts w:hint="eastAsia" w:ascii="宋体" w:hAnsi="宋体" w:eastAsia="宋体" w:cs="楷体"/>
          <w:sz w:val="24"/>
          <w:szCs w:val="24"/>
          <w:u w:val="single"/>
        </w:rPr>
        <w:t xml:space="preserve">单孔污碟台1</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52、</w:t>
      </w:r>
      <w:r>
        <w:rPr>
          <w:rFonts w:hint="eastAsia" w:ascii="宋体" w:hAnsi="宋体" w:eastAsia="宋体" w:cs="楷体"/>
          <w:sz w:val="24"/>
          <w:szCs w:val="24"/>
          <w:u w:val="single"/>
        </w:rPr>
        <w:t xml:space="preserve">单孔污碟台2</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53、</w:t>
      </w:r>
      <w:r>
        <w:rPr>
          <w:rFonts w:hint="eastAsia" w:ascii="宋体" w:hAnsi="宋体" w:eastAsia="宋体" w:cs="楷体"/>
          <w:sz w:val="24"/>
          <w:szCs w:val="24"/>
          <w:u w:val="single"/>
        </w:rPr>
        <w:t xml:space="preserve">单孔污碟台柜</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54、</w:t>
      </w:r>
      <w:r>
        <w:rPr>
          <w:rFonts w:hint="eastAsia" w:ascii="宋体" w:hAnsi="宋体" w:eastAsia="宋体" w:cs="楷体"/>
          <w:sz w:val="24"/>
          <w:szCs w:val="24"/>
          <w:u w:val="single"/>
        </w:rPr>
        <w:t xml:space="preserve">双孔污碟台</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55、</w:t>
      </w:r>
      <w:r>
        <w:rPr>
          <w:rFonts w:hint="eastAsia" w:ascii="宋体" w:hAnsi="宋体" w:eastAsia="宋体" w:cs="楷体"/>
          <w:sz w:val="24"/>
          <w:szCs w:val="24"/>
          <w:u w:val="single"/>
        </w:rPr>
        <w:t xml:space="preserve">单星杀鱼台</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56、</w:t>
      </w:r>
      <w:r>
        <w:rPr>
          <w:rFonts w:hint="eastAsia" w:ascii="宋体" w:hAnsi="宋体" w:eastAsia="宋体" w:cs="楷体"/>
          <w:sz w:val="24"/>
          <w:szCs w:val="24"/>
          <w:u w:val="single"/>
        </w:rPr>
        <w:t xml:space="preserve">单门蒸饭柜</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57、</w:t>
      </w:r>
      <w:r>
        <w:rPr>
          <w:rFonts w:hint="eastAsia" w:ascii="宋体" w:hAnsi="宋体" w:eastAsia="宋体" w:cs="楷体"/>
          <w:sz w:val="24"/>
          <w:szCs w:val="24"/>
          <w:u w:val="single"/>
        </w:rPr>
        <w:t xml:space="preserve">燃气推车蒸柜</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58、</w:t>
      </w:r>
      <w:r>
        <w:rPr>
          <w:rFonts w:hint="eastAsia" w:ascii="宋体" w:hAnsi="宋体" w:eastAsia="宋体" w:cs="楷体"/>
          <w:sz w:val="24"/>
          <w:szCs w:val="24"/>
          <w:u w:val="single"/>
        </w:rPr>
        <w:t xml:space="preserve">燃气蒸汽发生器</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59、</w:t>
      </w:r>
      <w:r>
        <w:rPr>
          <w:rFonts w:hint="eastAsia" w:ascii="宋体" w:hAnsi="宋体" w:eastAsia="宋体" w:cs="楷体"/>
          <w:sz w:val="24"/>
          <w:szCs w:val="24"/>
          <w:u w:val="single"/>
        </w:rPr>
        <w:t xml:space="preserve">双门蒸饭柜</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60、</w:t>
      </w:r>
      <w:r>
        <w:rPr>
          <w:rFonts w:hint="eastAsia" w:ascii="宋体" w:hAnsi="宋体" w:eastAsia="宋体" w:cs="楷体"/>
          <w:sz w:val="24"/>
          <w:szCs w:val="24"/>
          <w:u w:val="single"/>
        </w:rPr>
        <w:t xml:space="preserve">三门蒸柜</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61、</w:t>
      </w:r>
      <w:r>
        <w:rPr>
          <w:rFonts w:hint="eastAsia" w:ascii="宋体" w:hAnsi="宋体" w:eastAsia="宋体" w:cs="楷体"/>
          <w:sz w:val="24"/>
          <w:szCs w:val="24"/>
          <w:u w:val="single"/>
        </w:rPr>
        <w:t xml:space="preserve">单头单尾炒灶</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62、</w:t>
      </w:r>
      <w:r>
        <w:rPr>
          <w:rFonts w:hint="eastAsia" w:ascii="宋体" w:hAnsi="宋体" w:eastAsia="宋体" w:cs="楷体"/>
          <w:sz w:val="24"/>
          <w:szCs w:val="24"/>
          <w:u w:val="single"/>
        </w:rPr>
        <w:t xml:space="preserve">双头大锅灶</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63、</w:t>
      </w:r>
      <w:r>
        <w:rPr>
          <w:rFonts w:hint="eastAsia" w:ascii="宋体" w:hAnsi="宋体" w:eastAsia="宋体" w:cs="楷体"/>
          <w:sz w:val="24"/>
          <w:szCs w:val="24"/>
          <w:u w:val="single"/>
        </w:rPr>
        <w:t xml:space="preserve">双头单尾炒灶</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64、</w:t>
      </w:r>
      <w:r>
        <w:rPr>
          <w:rFonts w:hint="eastAsia" w:ascii="宋体" w:hAnsi="宋体" w:eastAsia="宋体" w:cs="楷体"/>
          <w:sz w:val="24"/>
          <w:szCs w:val="24"/>
          <w:u w:val="single"/>
        </w:rPr>
        <w:t xml:space="preserve">双头双尾炒灶</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65、</w:t>
      </w:r>
      <w:r>
        <w:rPr>
          <w:rFonts w:hint="eastAsia" w:ascii="宋体" w:hAnsi="宋体" w:eastAsia="宋体" w:cs="楷体"/>
          <w:sz w:val="24"/>
          <w:szCs w:val="24"/>
          <w:u w:val="single"/>
        </w:rPr>
        <w:t xml:space="preserve">小炒连大锅灶</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66、</w:t>
      </w:r>
      <w:r>
        <w:rPr>
          <w:rFonts w:hint="eastAsia" w:ascii="宋体" w:hAnsi="宋体" w:eastAsia="宋体" w:cs="楷体"/>
          <w:sz w:val="24"/>
          <w:szCs w:val="24"/>
          <w:u w:val="single"/>
        </w:rPr>
        <w:t xml:space="preserve">感应龙头</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67、</w:t>
      </w:r>
      <w:r>
        <w:rPr>
          <w:rFonts w:hint="eastAsia" w:ascii="宋体" w:hAnsi="宋体" w:eastAsia="宋体" w:cs="楷体"/>
          <w:sz w:val="24"/>
          <w:szCs w:val="24"/>
          <w:u w:val="single"/>
        </w:rPr>
        <w:t xml:space="preserve">双温高压花洒龙头</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68、</w:t>
      </w:r>
      <w:r>
        <w:rPr>
          <w:rFonts w:hint="eastAsia" w:ascii="宋体" w:hAnsi="宋体" w:eastAsia="宋体" w:cs="楷体"/>
          <w:sz w:val="24"/>
          <w:szCs w:val="24"/>
          <w:u w:val="single"/>
        </w:rPr>
        <w:t xml:space="preserve">双温混水龙头</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69、</w:t>
      </w:r>
      <w:r>
        <w:rPr>
          <w:rFonts w:hint="eastAsia" w:ascii="宋体" w:hAnsi="宋体" w:eastAsia="宋体" w:cs="楷体"/>
          <w:sz w:val="24"/>
          <w:szCs w:val="24"/>
          <w:u w:val="single"/>
        </w:rPr>
        <w:t xml:space="preserve">洗地龙头</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70、</w:t>
      </w:r>
      <w:r>
        <w:rPr>
          <w:rFonts w:hint="eastAsia" w:ascii="宋体" w:hAnsi="宋体" w:eastAsia="宋体" w:cs="楷体"/>
          <w:sz w:val="24"/>
          <w:szCs w:val="24"/>
          <w:u w:val="single"/>
        </w:rPr>
        <w:t xml:space="preserve">摇摆水龙头1</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71、</w:t>
      </w:r>
      <w:r>
        <w:rPr>
          <w:rFonts w:hint="eastAsia" w:ascii="宋体" w:hAnsi="宋体" w:eastAsia="宋体" w:cs="楷体"/>
          <w:sz w:val="24"/>
          <w:szCs w:val="24"/>
          <w:u w:val="single"/>
        </w:rPr>
        <w:t xml:space="preserve">摇摆水龙头2</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72、</w:t>
      </w:r>
      <w:r>
        <w:rPr>
          <w:rFonts w:hint="eastAsia" w:ascii="宋体" w:hAnsi="宋体" w:eastAsia="宋体" w:cs="楷体"/>
          <w:sz w:val="24"/>
          <w:szCs w:val="24"/>
          <w:u w:val="single"/>
        </w:rPr>
        <w:t xml:space="preserve">摇摆水龙头3</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73、</w:t>
      </w:r>
      <w:r>
        <w:rPr>
          <w:rFonts w:hint="eastAsia" w:ascii="宋体" w:hAnsi="宋体" w:eastAsia="宋体" w:cs="楷体"/>
          <w:sz w:val="24"/>
          <w:szCs w:val="24"/>
          <w:u w:val="single"/>
        </w:rPr>
        <w:t xml:space="preserve">摇摆水龙头4</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74、</w:t>
      </w:r>
      <w:r>
        <w:rPr>
          <w:rFonts w:hint="eastAsia" w:ascii="宋体" w:hAnsi="宋体" w:eastAsia="宋体" w:cs="楷体"/>
          <w:sz w:val="24"/>
          <w:szCs w:val="24"/>
          <w:u w:val="single"/>
        </w:rPr>
        <w:t xml:space="preserve">摇摆水龙头5</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75、</w:t>
      </w:r>
      <w:r>
        <w:rPr>
          <w:rFonts w:hint="eastAsia" w:ascii="宋体" w:hAnsi="宋体" w:eastAsia="宋体" w:cs="楷体"/>
          <w:sz w:val="24"/>
          <w:szCs w:val="24"/>
          <w:u w:val="single"/>
        </w:rPr>
        <w:t xml:space="preserve">净水器</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contextualSpacing w:val="0"/>
        <w:ind w:firstLine="480"/>
        <w:spacing w:line="440" w:lineRule="exact"/>
        <w:rPr>
          <w:rFonts w:hint="eastAsia" w:ascii="宋体" w:hAnsi="宋体" w:eastAsia="宋体" w:cs="楷体"/>
          <w:sz w:val="24"/>
          <w:szCs w:val="24"/>
          <w:u w:val="single"/>
        </w:rPr>
      </w:pPr>
      <w:r>
        <w:rPr>
          <w:rFonts w:hint="eastAsia" w:ascii="宋体" w:hAnsi="宋体" w:eastAsia="宋体" w:cs="楷体"/>
          <w:sz w:val="24"/>
          <w:szCs w:val="24"/>
        </w:rPr>
        <w:t xml:space="preserve">76、</w:t>
      </w:r>
      <w:r>
        <w:rPr>
          <w:rFonts w:hint="eastAsia" w:ascii="宋体" w:hAnsi="宋体" w:eastAsia="宋体" w:cs="楷体"/>
          <w:sz w:val="24"/>
          <w:szCs w:val="24"/>
          <w:u w:val="single"/>
        </w:rPr>
        <w:t xml:space="preserve">下沉式冷藏库（-1~+4℃）</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工业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contextualSpacing w:val="0"/>
        <w:ind w:firstLine="480"/>
        <w:spacing w:line="440" w:lineRule="exact"/>
        <w:rPr>
          <w:rFonts w:hint="eastAsia" w:ascii="宋体" w:hAnsi="宋体" w:eastAsia="宋体" w:cs="楷体"/>
          <w:sz w:val="24"/>
          <w:szCs w:val="24"/>
          <w:u w:val="single"/>
        </w:rPr>
      </w:pPr>
      <w:r>
        <w:rPr>
          <w:rFonts w:hint="eastAsia" w:ascii="宋体" w:hAnsi="宋体" w:eastAsia="宋体" w:cs="楷体"/>
          <w:sz w:val="24"/>
          <w:szCs w:val="24"/>
        </w:rPr>
        <w:t xml:space="preserve">77、</w:t>
      </w:r>
      <w:r>
        <w:rPr>
          <w:rFonts w:hint="eastAsia" w:ascii="宋体" w:hAnsi="宋体" w:eastAsia="宋体" w:cs="楷体"/>
          <w:sz w:val="24"/>
          <w:szCs w:val="24"/>
          <w:u w:val="single"/>
        </w:rPr>
        <w:t xml:space="preserve">下沉式冷冻库（-25~-15℃）</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78、</w:t>
      </w:r>
      <w:r>
        <w:rPr>
          <w:rFonts w:hint="eastAsia" w:ascii="宋体" w:hAnsi="宋体" w:eastAsia="宋体" w:cs="楷体"/>
          <w:sz w:val="24"/>
          <w:szCs w:val="24"/>
          <w:u w:val="single"/>
        </w:rPr>
        <w:t xml:space="preserve">刀具消毒柜</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79、</w:t>
      </w:r>
      <w:r>
        <w:rPr>
          <w:rFonts w:hint="eastAsia" w:ascii="宋体" w:hAnsi="宋体" w:eastAsia="宋体" w:cs="楷体"/>
          <w:sz w:val="24"/>
          <w:szCs w:val="24"/>
          <w:u w:val="single"/>
        </w:rPr>
        <w:t xml:space="preserve">热风循环消毒柜</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80、</w:t>
      </w:r>
      <w:r>
        <w:rPr>
          <w:rFonts w:hint="eastAsia" w:ascii="宋体" w:hAnsi="宋体" w:eastAsia="宋体" w:cs="楷体"/>
          <w:sz w:val="24"/>
          <w:szCs w:val="24"/>
          <w:u w:val="single"/>
        </w:rPr>
        <w:t xml:space="preserve">挂墙单层架1</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81、</w:t>
      </w:r>
      <w:r>
        <w:rPr>
          <w:rFonts w:hint="eastAsia" w:ascii="宋体" w:hAnsi="宋体" w:eastAsia="宋体" w:cs="楷体"/>
          <w:sz w:val="24"/>
          <w:szCs w:val="24"/>
          <w:u w:val="single"/>
        </w:rPr>
        <w:t xml:space="preserve">挂墙单层架2</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82、</w:t>
      </w:r>
      <w:r>
        <w:rPr>
          <w:rFonts w:hint="eastAsia" w:ascii="宋体" w:hAnsi="宋体" w:eastAsia="宋体" w:cs="楷体"/>
          <w:sz w:val="24"/>
          <w:szCs w:val="24"/>
          <w:u w:val="single"/>
        </w:rPr>
        <w:t xml:space="preserve">挂墙单层架3</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83、</w:t>
      </w:r>
      <w:r>
        <w:rPr>
          <w:rFonts w:hint="eastAsia" w:ascii="宋体" w:hAnsi="宋体" w:eastAsia="宋体" w:cs="楷体"/>
          <w:sz w:val="24"/>
          <w:szCs w:val="24"/>
          <w:u w:val="single"/>
        </w:rPr>
        <w:t xml:space="preserve">收碗车</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84、</w:t>
      </w:r>
      <w:r>
        <w:rPr>
          <w:rFonts w:hint="eastAsia" w:ascii="宋体" w:hAnsi="宋体" w:eastAsia="宋体" w:cs="楷体"/>
          <w:sz w:val="24"/>
          <w:szCs w:val="24"/>
          <w:u w:val="single"/>
        </w:rPr>
        <w:t xml:space="preserve">开水器带底座</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85、</w:t>
      </w:r>
      <w:r>
        <w:rPr>
          <w:rFonts w:hint="eastAsia" w:ascii="宋体" w:hAnsi="宋体" w:eastAsia="宋体" w:cs="楷体"/>
          <w:sz w:val="24"/>
          <w:szCs w:val="24"/>
          <w:u w:val="single"/>
        </w:rPr>
        <w:t xml:space="preserve">饼盆车</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86、</w:t>
      </w:r>
      <w:r>
        <w:rPr>
          <w:rFonts w:hint="eastAsia" w:ascii="宋体" w:hAnsi="宋体" w:eastAsia="宋体" w:cs="楷体"/>
          <w:sz w:val="24"/>
          <w:szCs w:val="24"/>
          <w:u w:val="single"/>
        </w:rPr>
        <w:t xml:space="preserve">面粉车</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87、</w:t>
      </w:r>
      <w:r>
        <w:rPr>
          <w:rFonts w:hint="eastAsia" w:ascii="宋体" w:hAnsi="宋体" w:eastAsia="宋体" w:cs="楷体"/>
          <w:sz w:val="24"/>
          <w:szCs w:val="24"/>
          <w:u w:val="single"/>
        </w:rPr>
        <w:t xml:space="preserve">和面机</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88、</w:t>
      </w:r>
      <w:r>
        <w:rPr>
          <w:rFonts w:hint="eastAsia" w:ascii="宋体" w:hAnsi="宋体" w:eastAsia="宋体" w:cs="楷体"/>
          <w:sz w:val="24"/>
          <w:szCs w:val="24"/>
          <w:u w:val="single"/>
        </w:rPr>
        <w:t xml:space="preserve">卧式和面机</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89、</w:t>
      </w:r>
      <w:r>
        <w:rPr>
          <w:rFonts w:hint="eastAsia" w:ascii="宋体" w:hAnsi="宋体" w:eastAsia="宋体" w:cs="楷体"/>
          <w:sz w:val="24"/>
          <w:szCs w:val="24"/>
          <w:u w:val="single"/>
        </w:rPr>
        <w:t xml:space="preserve">压面机</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90、</w:t>
      </w:r>
      <w:r>
        <w:rPr>
          <w:rFonts w:hint="eastAsia" w:ascii="宋体" w:hAnsi="宋体" w:eastAsia="宋体" w:cs="楷体"/>
          <w:sz w:val="24"/>
          <w:szCs w:val="24"/>
          <w:u w:val="single"/>
        </w:rPr>
        <w:t xml:space="preserve">绞肉机</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91、</w:t>
      </w:r>
      <w:r>
        <w:rPr>
          <w:rFonts w:hint="eastAsia" w:ascii="宋体" w:hAnsi="宋体" w:eastAsia="宋体" w:cs="楷体"/>
          <w:sz w:val="24"/>
          <w:szCs w:val="24"/>
          <w:u w:val="single"/>
        </w:rPr>
        <w:t xml:space="preserve">搅拌机</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92、</w:t>
      </w:r>
      <w:r>
        <w:rPr>
          <w:rFonts w:hint="eastAsia" w:ascii="宋体" w:hAnsi="宋体" w:eastAsia="宋体" w:cs="楷体"/>
          <w:sz w:val="24"/>
          <w:szCs w:val="24"/>
          <w:u w:val="single"/>
        </w:rPr>
        <w:t xml:space="preserve">肉丝肉片机</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93、</w:t>
      </w:r>
      <w:r>
        <w:rPr>
          <w:rFonts w:hint="eastAsia" w:ascii="宋体" w:hAnsi="宋体" w:eastAsia="宋体" w:cs="楷体"/>
          <w:sz w:val="24"/>
          <w:szCs w:val="24"/>
          <w:u w:val="single"/>
        </w:rPr>
        <w:t xml:space="preserve">多功能切菜机</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94、</w:t>
      </w:r>
      <w:r>
        <w:rPr>
          <w:rFonts w:hint="eastAsia" w:ascii="宋体" w:hAnsi="宋体" w:eastAsia="宋体" w:cs="楷体"/>
          <w:sz w:val="24"/>
          <w:szCs w:val="24"/>
          <w:u w:val="single"/>
        </w:rPr>
        <w:t xml:space="preserve">辊式馒头机</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95、</w:t>
      </w:r>
      <w:r>
        <w:rPr>
          <w:rFonts w:hint="eastAsia" w:ascii="宋体" w:hAnsi="宋体" w:eastAsia="宋体" w:cs="楷体"/>
          <w:sz w:val="24"/>
          <w:szCs w:val="24"/>
          <w:u w:val="single"/>
        </w:rPr>
        <w:t xml:space="preserve">毛刷去皮机</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96、</w:t>
      </w:r>
      <w:r>
        <w:rPr>
          <w:rFonts w:hint="eastAsia" w:ascii="宋体" w:hAnsi="宋体" w:eastAsia="宋体" w:cs="楷体"/>
          <w:sz w:val="24"/>
          <w:szCs w:val="24"/>
          <w:u w:val="single"/>
        </w:rPr>
        <w:t xml:space="preserve">软水机</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97、</w:t>
      </w:r>
      <w:r>
        <w:rPr>
          <w:rFonts w:hint="eastAsia" w:ascii="宋体" w:hAnsi="宋体" w:eastAsia="宋体" w:cs="楷体"/>
          <w:sz w:val="24"/>
          <w:szCs w:val="24"/>
          <w:u w:val="single"/>
        </w:rPr>
        <w:t xml:space="preserve">点菜柜</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98、</w:t>
      </w:r>
      <w:r>
        <w:rPr>
          <w:rFonts w:hint="eastAsia" w:ascii="宋体" w:hAnsi="宋体" w:eastAsia="宋体" w:cs="楷体"/>
          <w:sz w:val="24"/>
          <w:szCs w:val="24"/>
          <w:u w:val="single"/>
        </w:rPr>
        <w:t xml:space="preserve">电饼铛</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99、</w:t>
      </w:r>
      <w:r>
        <w:rPr>
          <w:rFonts w:hint="eastAsia" w:ascii="宋体" w:hAnsi="宋体" w:eastAsia="宋体" w:cs="楷体"/>
          <w:sz w:val="24"/>
          <w:szCs w:val="24"/>
          <w:u w:val="single"/>
        </w:rPr>
        <w:t xml:space="preserve">单通移门碗柜</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100、</w:t>
      </w:r>
      <w:r>
        <w:rPr>
          <w:rFonts w:hint="eastAsia" w:ascii="宋体" w:hAnsi="宋体" w:eastAsia="宋体" w:cs="楷体"/>
          <w:sz w:val="24"/>
          <w:szCs w:val="24"/>
          <w:u w:val="single"/>
        </w:rPr>
        <w:t xml:space="preserve">单头矮汤炉</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contextualSpacing w:val="0"/>
        <w:ind w:firstLine="480"/>
        <w:spacing w:line="440" w:lineRule="exact"/>
        <w:rPr>
          <w:rFonts w:hint="eastAsia" w:ascii="宋体" w:hAnsi="宋体" w:eastAsia="宋体" w:cs="楷体"/>
          <w:sz w:val="24"/>
          <w:szCs w:val="24"/>
          <w:u w:val="single"/>
        </w:rPr>
      </w:pPr>
      <w:r>
        <w:rPr>
          <w:rFonts w:hint="eastAsia" w:ascii="宋体" w:hAnsi="宋体" w:eastAsia="宋体" w:cs="楷体"/>
          <w:sz w:val="24"/>
          <w:szCs w:val="24"/>
        </w:rPr>
        <w:t xml:space="preserve">101、</w:t>
      </w:r>
      <w:r>
        <w:rPr>
          <w:rFonts w:hint="eastAsia" w:ascii="宋体" w:hAnsi="宋体" w:eastAsia="宋体" w:cs="楷体"/>
          <w:sz w:val="24"/>
          <w:szCs w:val="24"/>
          <w:u w:val="single"/>
        </w:rPr>
        <w:t xml:space="preserve">定制12格保温台（蒸汽式)</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w:t>
      </w:r>
      <w:r>
        <w:rPr>
          <w:rFonts w:hint="eastAsia" w:ascii="宋体" w:hAnsi="宋体" w:eastAsia="宋体" w:cs="楷体"/>
          <w:sz w:val="24"/>
          <w:szCs w:val="24"/>
        </w:rPr>
        <w:t xml:space="preserve">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102、</w:t>
      </w:r>
      <w:r>
        <w:rPr>
          <w:rFonts w:hint="eastAsia" w:ascii="宋体" w:hAnsi="宋体" w:eastAsia="宋体" w:cs="楷体"/>
          <w:sz w:val="24"/>
          <w:szCs w:val="24"/>
          <w:u w:val="single"/>
        </w:rPr>
        <w:t xml:space="preserve">定制移动周转车</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103、</w:t>
      </w:r>
      <w:r>
        <w:rPr>
          <w:rFonts w:hint="eastAsia" w:ascii="宋体" w:hAnsi="宋体" w:eastAsia="宋体" w:cs="楷体"/>
          <w:sz w:val="24"/>
          <w:szCs w:val="24"/>
          <w:u w:val="single"/>
        </w:rPr>
        <w:t xml:space="preserve">五格保温台</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104、</w:t>
      </w:r>
      <w:r>
        <w:rPr>
          <w:rFonts w:hint="eastAsia" w:ascii="宋体" w:hAnsi="宋体" w:eastAsia="宋体" w:cs="楷体"/>
          <w:sz w:val="24"/>
          <w:szCs w:val="24"/>
          <w:u w:val="single"/>
        </w:rPr>
        <w:t xml:space="preserve">燃气可倾式夹层锅</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105、</w:t>
      </w:r>
      <w:r>
        <w:rPr>
          <w:rFonts w:hint="eastAsia" w:ascii="宋体" w:hAnsi="宋体" w:eastAsia="宋体" w:cs="楷体"/>
          <w:sz w:val="24"/>
          <w:szCs w:val="24"/>
          <w:u w:val="single"/>
        </w:rPr>
        <w:t xml:space="preserve">燃气双缸双筛炸炉</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106、</w:t>
      </w:r>
      <w:r>
        <w:rPr>
          <w:rFonts w:hint="eastAsia" w:ascii="宋体" w:hAnsi="宋体" w:eastAsia="宋体" w:cs="楷体"/>
          <w:sz w:val="24"/>
          <w:szCs w:val="24"/>
          <w:u w:val="single"/>
        </w:rPr>
        <w:t xml:space="preserve">燃气煮面桶</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107、</w:t>
      </w:r>
      <w:r>
        <w:rPr>
          <w:rFonts w:hint="eastAsia" w:ascii="宋体" w:hAnsi="宋体" w:eastAsia="宋体" w:cs="楷体"/>
          <w:sz w:val="24"/>
          <w:szCs w:val="24"/>
          <w:u w:val="single"/>
        </w:rPr>
        <w:t xml:space="preserve">立式电炸炉</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108、</w:t>
      </w:r>
      <w:r>
        <w:rPr>
          <w:rFonts w:hint="eastAsia" w:ascii="宋体" w:hAnsi="宋体" w:eastAsia="宋体" w:cs="楷体"/>
          <w:sz w:val="24"/>
          <w:szCs w:val="24"/>
          <w:u w:val="single"/>
        </w:rPr>
        <w:t xml:space="preserve">六头煲仔炉</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109、</w:t>
      </w:r>
      <w:r>
        <w:rPr>
          <w:rFonts w:hint="eastAsia" w:ascii="宋体" w:hAnsi="宋体" w:eastAsia="宋体" w:cs="楷体"/>
          <w:sz w:val="24"/>
          <w:szCs w:val="24"/>
          <w:u w:val="single"/>
        </w:rPr>
        <w:t xml:space="preserve">双头矮汤炉</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110、</w:t>
      </w:r>
      <w:r>
        <w:rPr>
          <w:rFonts w:hint="eastAsia" w:ascii="宋体" w:hAnsi="宋体" w:eastAsia="宋体" w:cs="楷体"/>
          <w:sz w:val="24"/>
          <w:szCs w:val="24"/>
          <w:u w:val="single"/>
        </w:rPr>
        <w:t xml:space="preserve">八头煲仔炉1</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111、</w:t>
      </w:r>
      <w:r>
        <w:rPr>
          <w:rFonts w:hint="eastAsia" w:ascii="宋体" w:hAnsi="宋体" w:eastAsia="宋体" w:cs="楷体"/>
          <w:sz w:val="24"/>
          <w:szCs w:val="24"/>
          <w:u w:val="single"/>
        </w:rPr>
        <w:t xml:space="preserve">八头煲仔炉2</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112、</w:t>
      </w:r>
      <w:r>
        <w:rPr>
          <w:rFonts w:hint="eastAsia" w:ascii="宋体" w:hAnsi="宋体" w:eastAsia="宋体" w:cs="楷体"/>
          <w:sz w:val="24"/>
          <w:szCs w:val="24"/>
          <w:u w:val="single"/>
        </w:rPr>
        <w:t xml:space="preserve">三层六盘钢烤箱</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113、</w:t>
      </w:r>
      <w:r>
        <w:rPr>
          <w:rFonts w:hint="eastAsia" w:ascii="宋体" w:hAnsi="宋体" w:eastAsia="宋体" w:cs="楷体"/>
          <w:sz w:val="24"/>
          <w:szCs w:val="24"/>
          <w:u w:val="single"/>
        </w:rPr>
        <w:t xml:space="preserve">双门发酵箱</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contextualSpacing w:val="0"/>
        <w:ind w:firstLine="480"/>
        <w:spacing w:line="440" w:lineRule="exact"/>
        <w:rPr>
          <w:rFonts w:hint="eastAsia" w:ascii="宋体" w:hAnsi="宋体" w:eastAsia="宋体" w:cs="楷体"/>
          <w:sz w:val="24"/>
          <w:szCs w:val="24"/>
          <w:u w:val="single"/>
        </w:rPr>
      </w:pPr>
      <w:r>
        <w:rPr>
          <w:rFonts w:hint="eastAsia" w:ascii="宋体" w:hAnsi="宋体" w:eastAsia="宋体" w:cs="楷体"/>
          <w:sz w:val="24"/>
          <w:szCs w:val="24"/>
        </w:rPr>
        <w:t xml:space="preserve">114、</w:t>
      </w:r>
      <w:r>
        <w:rPr>
          <w:rFonts w:hint="eastAsia" w:ascii="宋体" w:hAnsi="宋体" w:eastAsia="宋体" w:cs="楷体"/>
          <w:sz w:val="24"/>
          <w:szCs w:val="24"/>
          <w:u w:val="single"/>
        </w:rPr>
        <w:t xml:space="preserve">炉拼台</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115、</w:t>
      </w:r>
      <w:r>
        <w:rPr>
          <w:rFonts w:hint="eastAsia" w:ascii="宋体" w:hAnsi="宋体" w:eastAsia="宋体" w:cs="楷体"/>
          <w:sz w:val="24"/>
          <w:szCs w:val="24"/>
          <w:u w:val="single"/>
        </w:rPr>
        <w:t xml:space="preserve">暖饭暖汤车</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116、</w:t>
      </w:r>
      <w:r>
        <w:rPr>
          <w:rFonts w:hint="eastAsia" w:ascii="宋体" w:hAnsi="宋体" w:eastAsia="宋体" w:cs="楷体"/>
          <w:sz w:val="24"/>
          <w:szCs w:val="24"/>
          <w:u w:val="single"/>
        </w:rPr>
        <w:t xml:space="preserve">四门双机双温高身雪柜</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117、</w:t>
      </w:r>
      <w:r>
        <w:rPr>
          <w:rFonts w:hint="eastAsia" w:ascii="宋体" w:hAnsi="宋体" w:eastAsia="宋体" w:cs="楷体"/>
          <w:sz w:val="24"/>
          <w:szCs w:val="24"/>
          <w:u w:val="single"/>
        </w:rPr>
        <w:t xml:space="preserve">双温六门高身柜</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118、</w:t>
      </w:r>
      <w:r>
        <w:rPr>
          <w:rFonts w:hint="eastAsia" w:ascii="宋体" w:hAnsi="宋体" w:eastAsia="宋体" w:cs="楷体"/>
          <w:sz w:val="24"/>
          <w:szCs w:val="24"/>
          <w:u w:val="single"/>
        </w:rPr>
        <w:t xml:space="preserve">立式双玻璃门展示柜</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contextualSpacing w:val="0"/>
        <w:ind w:firstLine="480"/>
        <w:spacing w:line="440" w:lineRule="exact"/>
        <w:rPr>
          <w:rFonts w:hint="eastAsia" w:ascii="宋体" w:hAnsi="宋体" w:eastAsia="宋体" w:cs="楷体"/>
          <w:sz w:val="24"/>
          <w:szCs w:val="24"/>
          <w:u w:val="single"/>
        </w:rPr>
      </w:pPr>
      <w:r>
        <w:rPr>
          <w:rFonts w:hint="eastAsia" w:ascii="宋体" w:hAnsi="宋体" w:eastAsia="宋体" w:cs="楷体"/>
          <w:sz w:val="24"/>
          <w:szCs w:val="24"/>
        </w:rPr>
        <w:t xml:space="preserve">119、</w:t>
      </w:r>
      <w:r>
        <w:rPr>
          <w:rFonts w:hint="eastAsia" w:ascii="宋体" w:hAnsi="宋体" w:eastAsia="宋体" w:cs="楷体"/>
          <w:sz w:val="24"/>
          <w:szCs w:val="24"/>
          <w:u w:val="single"/>
        </w:rPr>
        <w:t xml:space="preserve">长龙式洗碗机（带烘干)</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120、</w:t>
      </w:r>
      <w:r>
        <w:rPr>
          <w:rFonts w:hint="eastAsia" w:ascii="宋体" w:hAnsi="宋体" w:eastAsia="宋体" w:cs="楷体"/>
          <w:sz w:val="24"/>
          <w:szCs w:val="24"/>
          <w:u w:val="single"/>
        </w:rPr>
        <w:t xml:space="preserve">小件投掷柜1</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121、</w:t>
      </w:r>
      <w:r>
        <w:rPr>
          <w:rFonts w:hint="eastAsia" w:ascii="宋体" w:hAnsi="宋体" w:eastAsia="宋体" w:cs="楷体"/>
          <w:sz w:val="24"/>
          <w:szCs w:val="24"/>
          <w:u w:val="single"/>
        </w:rPr>
        <w:t xml:space="preserve">小件投掷柜2</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122、</w:t>
      </w:r>
      <w:r>
        <w:rPr>
          <w:rFonts w:hint="eastAsia" w:ascii="宋体" w:hAnsi="宋体" w:eastAsia="宋体" w:cs="楷体"/>
          <w:sz w:val="24"/>
          <w:szCs w:val="24"/>
          <w:u w:val="single"/>
        </w:rPr>
        <w:t xml:space="preserve">置桶架</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123、</w:t>
      </w:r>
      <w:r>
        <w:rPr>
          <w:rFonts w:hint="eastAsia" w:ascii="宋体" w:hAnsi="宋体" w:eastAsia="宋体" w:cs="楷体"/>
          <w:sz w:val="24"/>
          <w:szCs w:val="24"/>
          <w:u w:val="single"/>
        </w:rPr>
        <w:t xml:space="preserve">抽气罩</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124、</w:t>
      </w:r>
      <w:r>
        <w:rPr>
          <w:rFonts w:hint="eastAsia" w:ascii="宋体" w:hAnsi="宋体" w:eastAsia="宋体" w:cs="楷体"/>
          <w:sz w:val="24"/>
          <w:szCs w:val="24"/>
          <w:u w:val="single"/>
        </w:rPr>
        <w:t xml:space="preserve">牛角抽气罩</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125、</w:t>
      </w:r>
      <w:r>
        <w:rPr>
          <w:rFonts w:hint="eastAsia" w:ascii="宋体" w:hAnsi="宋体" w:eastAsia="宋体" w:cs="楷体"/>
          <w:sz w:val="24"/>
          <w:szCs w:val="24"/>
          <w:u w:val="single"/>
        </w:rPr>
        <w:t xml:space="preserve">集气罩</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126、</w:t>
      </w:r>
      <w:r>
        <w:rPr>
          <w:rFonts w:hint="eastAsia" w:ascii="宋体" w:hAnsi="宋体" w:eastAsia="宋体" w:cs="楷体"/>
          <w:sz w:val="24"/>
          <w:szCs w:val="24"/>
          <w:u w:val="single"/>
        </w:rPr>
        <w:t xml:space="preserve">油网烟罩</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127、</w:t>
      </w:r>
      <w:r>
        <w:rPr>
          <w:rFonts w:hint="eastAsia" w:ascii="宋体" w:hAnsi="宋体" w:eastAsia="宋体" w:cs="楷体"/>
          <w:sz w:val="24"/>
          <w:szCs w:val="24"/>
          <w:u w:val="single"/>
        </w:rPr>
        <w:t xml:space="preserve">油网烟罩连弥散新风1</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128、</w:t>
      </w:r>
      <w:r>
        <w:rPr>
          <w:rFonts w:hint="eastAsia" w:ascii="宋体" w:hAnsi="宋体" w:eastAsia="宋体" w:cs="楷体"/>
          <w:sz w:val="24"/>
          <w:szCs w:val="24"/>
          <w:u w:val="single"/>
        </w:rPr>
        <w:t xml:space="preserve">油网烟罩连弥散新风2</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contextualSpacing w:val="0"/>
        <w:ind w:firstLine="480"/>
        <w:spacing w:line="440" w:lineRule="exact"/>
        <w:rPr>
          <w:rFonts w:hint="eastAsia" w:ascii="宋体" w:hAnsi="宋体" w:eastAsia="宋体" w:cs="楷体"/>
          <w:sz w:val="24"/>
          <w:szCs w:val="24"/>
          <w:u w:val="single"/>
        </w:rPr>
      </w:pPr>
      <w:r>
        <w:rPr>
          <w:rFonts w:hint="eastAsia" w:ascii="宋体" w:hAnsi="宋体" w:eastAsia="宋体" w:cs="楷体"/>
          <w:sz w:val="24"/>
          <w:szCs w:val="24"/>
        </w:rPr>
        <w:t xml:space="preserve">129、</w:t>
      </w:r>
      <w:r>
        <w:rPr>
          <w:rFonts w:hint="eastAsia" w:ascii="宋体" w:hAnsi="宋体" w:eastAsia="宋体" w:cs="楷体"/>
          <w:sz w:val="24"/>
          <w:szCs w:val="24"/>
          <w:u w:val="single"/>
        </w:rPr>
        <w:t xml:space="preserve">圆带式餐盘传送机1（含转角）</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130、</w:t>
      </w:r>
      <w:r>
        <w:rPr>
          <w:rFonts w:hint="eastAsia" w:ascii="宋体" w:hAnsi="宋体" w:eastAsia="宋体" w:cs="楷体"/>
          <w:sz w:val="24"/>
          <w:szCs w:val="24"/>
          <w:u w:val="single"/>
        </w:rPr>
        <w:t xml:space="preserve">圆带式餐盘传送机2（含转角）</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131、</w:t>
      </w:r>
      <w:r>
        <w:rPr>
          <w:rFonts w:hint="eastAsia" w:ascii="宋体" w:hAnsi="宋体" w:eastAsia="宋体" w:cs="楷体"/>
          <w:sz w:val="24"/>
          <w:szCs w:val="24"/>
          <w:u w:val="single"/>
        </w:rPr>
        <w:t xml:space="preserve">蒸柜推车</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132、</w:t>
      </w:r>
      <w:r>
        <w:rPr>
          <w:rFonts w:hint="eastAsia" w:ascii="宋体" w:hAnsi="宋体" w:eastAsia="宋体" w:cs="楷体"/>
          <w:sz w:val="24"/>
          <w:szCs w:val="24"/>
          <w:u w:val="single"/>
        </w:rPr>
        <w:t xml:space="preserve">拖把池</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133、</w:t>
      </w:r>
      <w:r>
        <w:rPr>
          <w:rFonts w:hint="eastAsia" w:ascii="宋体" w:hAnsi="宋体" w:eastAsia="宋体" w:cs="楷体"/>
          <w:sz w:val="24"/>
          <w:szCs w:val="24"/>
          <w:u w:val="single"/>
        </w:rPr>
        <w:t xml:space="preserve">拖把架</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134、</w:t>
      </w:r>
      <w:r>
        <w:rPr>
          <w:rFonts w:hint="eastAsia" w:ascii="宋体" w:hAnsi="宋体" w:eastAsia="宋体" w:cs="楷体"/>
          <w:sz w:val="24"/>
          <w:szCs w:val="24"/>
          <w:u w:val="single"/>
        </w:rPr>
        <w:t xml:space="preserve">紫外线消毒灯</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135、</w:t>
      </w:r>
      <w:r>
        <w:rPr>
          <w:rFonts w:hint="eastAsia" w:ascii="宋体" w:hAnsi="宋体" w:eastAsia="宋体" w:cs="楷体"/>
          <w:sz w:val="24"/>
          <w:szCs w:val="24"/>
          <w:u w:val="single"/>
        </w:rPr>
        <w:t xml:space="preserve">灭蝇灯</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136、</w:t>
      </w:r>
      <w:r>
        <w:rPr>
          <w:rFonts w:hint="eastAsia" w:ascii="宋体" w:hAnsi="宋体" w:eastAsia="宋体" w:cs="楷体"/>
          <w:sz w:val="24"/>
          <w:szCs w:val="24"/>
          <w:u w:val="single"/>
        </w:rPr>
        <w:t xml:space="preserve">传送带封板1</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137、</w:t>
      </w:r>
      <w:r>
        <w:rPr>
          <w:rFonts w:hint="eastAsia" w:ascii="宋体" w:hAnsi="宋体" w:eastAsia="宋体" w:cs="楷体"/>
          <w:sz w:val="24"/>
          <w:szCs w:val="24"/>
          <w:u w:val="single"/>
        </w:rPr>
        <w:t xml:space="preserve">传送带封板2</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138、</w:t>
      </w:r>
      <w:r>
        <w:rPr>
          <w:rFonts w:hint="eastAsia" w:ascii="宋体" w:hAnsi="宋体" w:eastAsia="宋体" w:cs="楷体"/>
          <w:sz w:val="24"/>
          <w:szCs w:val="24"/>
          <w:u w:val="single"/>
        </w:rPr>
        <w:t xml:space="preserve">传送带封板3</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139、</w:t>
      </w:r>
      <w:r>
        <w:rPr>
          <w:rFonts w:hint="eastAsia" w:ascii="宋体" w:hAnsi="宋体" w:eastAsia="宋体" w:cs="楷体"/>
          <w:sz w:val="24"/>
          <w:szCs w:val="24"/>
          <w:u w:val="single"/>
        </w:rPr>
        <w:t xml:space="preserve">传送带封板4</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140、</w:t>
      </w:r>
      <w:r>
        <w:rPr>
          <w:rFonts w:hint="eastAsia" w:ascii="宋体" w:hAnsi="宋体" w:eastAsia="宋体" w:cs="楷体"/>
          <w:sz w:val="24"/>
          <w:szCs w:val="24"/>
          <w:u w:val="single"/>
        </w:rPr>
        <w:t xml:space="preserve">不锈钢封墙钢1</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contextualSpacing w:val="0"/>
        <w:ind w:firstLine="480"/>
        <w:spacing w:before="0" w:after="0" w:line="440" w:lineRule="exact"/>
        <w:rPr>
          <w:rFonts w:hint="eastAsia" w:ascii="宋体" w:hAnsi="宋体" w:eastAsia="宋体" w:cs="楷体"/>
          <w:sz w:val="24"/>
          <w:szCs w:val="24"/>
        </w:rPr>
      </w:pPr>
      <w:r>
        <w:rPr>
          <w:rFonts w:ascii="宋体" w:hAnsi="宋体" w:eastAsia="宋体" w:cs="楷体"/>
          <w:sz w:val="24"/>
          <w:szCs w:val="24"/>
        </w:rPr>
        <w:t xml:space="preserve">1</w:t>
      </w:r>
      <w:r>
        <w:rPr>
          <w:rFonts w:hint="eastAsia" w:ascii="宋体" w:hAnsi="宋体" w:eastAsia="宋体" w:cs="楷体"/>
          <w:sz w:val="24"/>
          <w:szCs w:val="24"/>
        </w:rPr>
        <w:t xml:space="preserve">41、</w:t>
      </w:r>
      <w:r>
        <w:rPr>
          <w:rFonts w:hint="eastAsia" w:ascii="宋体" w:hAnsi="宋体" w:eastAsia="宋体" w:cs="楷体"/>
          <w:sz w:val="24"/>
          <w:szCs w:val="24"/>
          <w:u w:val="single"/>
        </w:rPr>
        <w:t xml:space="preserve">不锈钢封墙钢2</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142、</w:t>
      </w:r>
      <w:r>
        <w:rPr>
          <w:rFonts w:hint="eastAsia" w:ascii="宋体" w:hAnsi="宋体" w:eastAsia="宋体" w:cs="楷体"/>
          <w:sz w:val="24"/>
          <w:szCs w:val="24"/>
          <w:u w:val="single"/>
        </w:rPr>
        <w:t xml:space="preserve">不锈钢封墙钢3</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143、</w:t>
      </w:r>
      <w:r>
        <w:rPr>
          <w:rFonts w:hint="eastAsia" w:ascii="宋体" w:hAnsi="宋体" w:eastAsia="宋体" w:cs="楷体"/>
          <w:sz w:val="24"/>
          <w:szCs w:val="24"/>
          <w:u w:val="single"/>
        </w:rPr>
        <w:t xml:space="preserve">不锈钢封墙钢4</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144、</w:t>
      </w:r>
      <w:r>
        <w:rPr>
          <w:rFonts w:hint="eastAsia" w:ascii="宋体" w:hAnsi="宋体" w:eastAsia="宋体" w:cs="楷体"/>
          <w:sz w:val="24"/>
          <w:szCs w:val="24"/>
          <w:u w:val="single"/>
        </w:rPr>
        <w:t xml:space="preserve">不锈钢封墙钢5</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r>
      <w:r/>
    </w:p>
    <w:p>
      <w:pPr>
        <w:pStyle w:val="1146"/>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以上企业，不属于大企业的分支机构，不存在控股股东为大型企业的情形，也不存在与大型企业的负责人为同一人的情形。</w:t>
      </w:r>
      <w:r/>
    </w:p>
    <w:p>
      <w:pPr>
        <w:ind w:firstLine="480"/>
        <w:spacing w:line="440" w:lineRule="exact"/>
        <w:rPr>
          <w:rFonts w:hint="eastAsia" w:cs="楷体"/>
        </w:rPr>
      </w:pPr>
      <w:r>
        <w:rPr>
          <w:rFonts w:hint="eastAsia" w:cs="楷体"/>
        </w:rPr>
        <w:t xml:space="preserve">本企业对上述声明内容的真实性负责。如有虚假，将依法承担相应责任。</w:t>
      </w:r>
      <w:r/>
    </w:p>
    <w:p>
      <w:pPr>
        <w:ind w:firstLine="480"/>
        <w:spacing w:line="440" w:lineRule="exact"/>
        <w:rPr>
          <w:rFonts w:hint="eastAsia" w:cs="楷体"/>
        </w:rPr>
      </w:pPr>
      <w:r>
        <w:rPr>
          <w:rFonts w:hint="eastAsia" w:cs="楷体"/>
        </w:rPr>
      </w:r>
      <w:r/>
    </w:p>
    <w:p>
      <w:pPr>
        <w:ind w:firstLine="3840"/>
        <w:spacing w:line="440" w:lineRule="exact"/>
        <w:rPr>
          <w:rFonts w:hint="eastAsia" w:cs="楷体"/>
        </w:rPr>
      </w:pPr>
      <w:r>
        <w:rPr>
          <w:rFonts w:hint="eastAsia"/>
          <w:bCs/>
        </w:rPr>
        <w:t xml:space="preserve">投标单位名称：</w:t>
      </w:r>
      <w:r>
        <w:rPr>
          <w:rFonts w:hint="eastAsia" w:cs="楷体"/>
        </w:rPr>
        <w:t xml:space="preserve">（加盖CA电子公章） </w:t>
      </w:r>
      <w:r>
        <w:rPr>
          <w:rFonts w:hint="eastAsia"/>
          <w:bCs/>
        </w:rPr>
        <w:t xml:space="preserve"> </w:t>
      </w:r>
      <w:r/>
    </w:p>
    <w:p>
      <w:pPr>
        <w:ind w:firstLine="4800"/>
        <w:spacing w:line="440" w:lineRule="exact"/>
        <w:rPr>
          <w:rFonts w:hint="eastAsia" w:cs="楷体"/>
        </w:rPr>
      </w:pPr>
      <w:r>
        <w:rPr>
          <w:rFonts w:hint="eastAsia" w:cs="楷体"/>
        </w:rPr>
        <w:t xml:space="preserve">日期：年 月 日</w:t>
      </w:r>
      <w:r/>
    </w:p>
    <w:p>
      <w:pPr>
        <w:ind w:firstLine="2650"/>
        <w:spacing w:line="360" w:lineRule="auto"/>
        <w:rPr>
          <w:rFonts w:hint="eastAsia" w:cs="楷体"/>
          <w:b/>
        </w:rPr>
      </w:pPr>
      <w:r>
        <w:rPr>
          <w:rFonts w:hint="eastAsia" w:cs="楷体"/>
          <w:b/>
        </w:rPr>
      </w:r>
      <w:r/>
    </w:p>
    <w:p>
      <w:pPr>
        <w:pStyle w:val="927"/>
        <w:ind w:firstLine="200"/>
        <w:spacing w:line="440" w:lineRule="exact"/>
        <w:rPr>
          <w:rFonts w:hint="eastAsia" w:cs="楷体"/>
          <w:szCs w:val="20"/>
        </w:rPr>
      </w:pPr>
      <w:r>
        <w:rPr>
          <w:rFonts w:hint="eastAsia" w:cs="楷体"/>
        </w:rPr>
        <w:t xml:space="preserve">注：1、从业人员、营业收入和资产总额填报上一年度数据，无上一年度数据的新成立企业可不填报。</w:t>
      </w:r>
      <w:r/>
    </w:p>
    <w:p>
      <w:pPr>
        <w:pStyle w:val="1146"/>
        <w:contextualSpacing w:val="0"/>
        <w:ind w:firstLine="480"/>
        <w:rPr>
          <w:rFonts w:hint="eastAsia" w:ascii="宋体" w:hAnsi="宋体" w:eastAsia="宋体" w:cs="楷体"/>
          <w:sz w:val="24"/>
          <w:szCs w:val="24"/>
        </w:rPr>
      </w:pPr>
      <w:r>
        <w:rPr>
          <w:rFonts w:hint="eastAsia" w:ascii="宋体" w:hAnsi="宋体" w:eastAsia="宋体" w:cs="楷体"/>
          <w:sz w:val="24"/>
          <w:szCs w:val="24"/>
        </w:rPr>
        <w:t xml:space="preserve">2、中小企业划型标准规定参考《工信部联企业[2011]300号》</w:t>
      </w:r>
      <w:r/>
    </w:p>
    <w:p>
      <w:pPr>
        <w:pStyle w:val="1146"/>
        <w:ind w:left="900" w:firstLine="480"/>
        <w:rPr>
          <w:rFonts w:hint="eastAsia" w:ascii="宋体" w:hAnsi="宋体" w:eastAsia="宋体" w:cs="楷体"/>
          <w:sz w:val="24"/>
          <w:szCs w:val="24"/>
        </w:rPr>
      </w:pPr>
      <w:r>
        <w:rPr>
          <w:rFonts w:hint="eastAsia" w:ascii="宋体" w:hAnsi="宋体" w:eastAsia="宋体" w:cs="楷体"/>
          <w:sz w:val="24"/>
          <w:szCs w:val="24"/>
        </w:rPr>
      </w:r>
      <w:r/>
    </w:p>
    <w:p>
      <w:pPr>
        <w:rPr>
          <w:rFonts w:hint="eastAsia"/>
        </w:rPr>
      </w:pPr>
      <w:r>
        <w:rPr>
          <w:rFonts w:hint="eastAsia"/>
        </w:rPr>
      </w:r>
      <w:r/>
    </w:p>
    <w:p>
      <w:pPr>
        <w:pStyle w:val="1146"/>
        <w:ind w:firstLine="480"/>
        <w:rPr>
          <w:rFonts w:hint="eastAsia" w:ascii="宋体" w:hAnsi="宋体" w:eastAsia="宋体" w:cs="楷体"/>
          <w:sz w:val="24"/>
          <w:szCs w:val="24"/>
        </w:rPr>
      </w:pPr>
      <w:r>
        <w:rPr>
          <w:rFonts w:hint="eastAsia" w:ascii="宋体" w:hAnsi="宋体" w:eastAsia="宋体" w:cs="楷体"/>
          <w:sz w:val="24"/>
          <w:szCs w:val="24"/>
        </w:rPr>
      </w:r>
      <w:bookmarkEnd w:id="509"/>
      <w:r/>
    </w:p>
    <w:p>
      <w:pPr>
        <w:pStyle w:val="1146"/>
        <w:ind w:firstLine="480"/>
        <w:rPr>
          <w:rFonts w:hint="eastAsia" w:ascii="宋体" w:hAnsi="宋体" w:eastAsia="宋体" w:cs="楷体"/>
          <w:sz w:val="24"/>
          <w:szCs w:val="24"/>
        </w:rPr>
      </w:pPr>
      <w:r>
        <w:rPr>
          <w:rFonts w:hint="eastAsia" w:ascii="宋体" w:hAnsi="宋体" w:eastAsia="宋体" w:cs="楷体"/>
          <w:sz w:val="24"/>
          <w:szCs w:val="24"/>
        </w:rPr>
      </w:r>
      <w:r/>
    </w:p>
    <w:p>
      <w:pPr>
        <w:pStyle w:val="1146"/>
        <w:ind w:firstLine="480"/>
        <w:rPr>
          <w:rFonts w:hint="eastAsia" w:ascii="宋体" w:hAnsi="宋体" w:eastAsia="宋体" w:cs="楷体"/>
          <w:sz w:val="24"/>
          <w:szCs w:val="24"/>
        </w:rPr>
      </w:pPr>
      <w:r>
        <w:rPr>
          <w:rFonts w:hint="eastAsia" w:ascii="宋体" w:hAnsi="宋体" w:eastAsia="宋体" w:cs="楷体"/>
          <w:sz w:val="24"/>
          <w:szCs w:val="24"/>
        </w:rPr>
      </w:r>
      <w:r/>
    </w:p>
    <w:p>
      <w:pPr>
        <w:pStyle w:val="1146"/>
        <w:ind w:firstLine="480"/>
        <w:rPr>
          <w:rFonts w:hint="eastAsia" w:ascii="宋体" w:hAnsi="宋体" w:eastAsia="宋体" w:cs="楷体"/>
          <w:sz w:val="24"/>
          <w:szCs w:val="24"/>
        </w:rPr>
      </w:pPr>
      <w:r>
        <w:rPr>
          <w:rFonts w:hint="eastAsia" w:ascii="宋体" w:hAnsi="宋体" w:eastAsia="宋体" w:cs="楷体"/>
          <w:sz w:val="24"/>
          <w:szCs w:val="24"/>
        </w:rPr>
      </w:r>
      <w:r/>
    </w:p>
    <w:p>
      <w:pPr>
        <w:pStyle w:val="1146"/>
        <w:ind w:firstLine="480"/>
        <w:rPr>
          <w:rFonts w:hint="eastAsia" w:ascii="宋体" w:hAnsi="宋体" w:eastAsia="宋体" w:cs="楷体"/>
          <w:sz w:val="24"/>
          <w:szCs w:val="24"/>
        </w:rPr>
      </w:pPr>
      <w:r>
        <w:rPr>
          <w:rFonts w:hint="eastAsia" w:ascii="宋体" w:hAnsi="宋体" w:eastAsia="宋体" w:cs="楷体"/>
          <w:sz w:val="24"/>
          <w:szCs w:val="24"/>
        </w:rPr>
      </w:r>
      <w:r/>
    </w:p>
    <w:p>
      <w:pPr>
        <w:pStyle w:val="1146"/>
        <w:ind w:firstLine="480"/>
        <w:rPr>
          <w:rFonts w:hint="eastAsia" w:ascii="宋体" w:hAnsi="宋体" w:eastAsia="宋体" w:cs="楷体"/>
          <w:sz w:val="24"/>
          <w:szCs w:val="24"/>
        </w:rPr>
      </w:pPr>
      <w:r>
        <w:rPr>
          <w:rFonts w:hint="eastAsia" w:ascii="宋体" w:hAnsi="宋体" w:eastAsia="宋体" w:cs="楷体"/>
          <w:sz w:val="24"/>
          <w:szCs w:val="24"/>
        </w:rPr>
      </w:r>
      <w:r/>
    </w:p>
    <w:p>
      <w:pPr>
        <w:pStyle w:val="1146"/>
        <w:ind w:firstLine="480"/>
        <w:rPr>
          <w:rFonts w:hint="eastAsia" w:ascii="宋体" w:hAnsi="宋体" w:eastAsia="宋体" w:cs="楷体"/>
          <w:sz w:val="24"/>
          <w:szCs w:val="24"/>
        </w:rPr>
      </w:pPr>
      <w:r>
        <w:rPr>
          <w:rFonts w:hint="eastAsia" w:ascii="宋体" w:hAnsi="宋体" w:eastAsia="宋体" w:cs="楷体"/>
          <w:sz w:val="24"/>
          <w:szCs w:val="24"/>
        </w:rPr>
      </w:r>
      <w:r/>
    </w:p>
    <w:p>
      <w:pPr>
        <w:pStyle w:val="1146"/>
        <w:ind w:firstLine="480"/>
        <w:rPr>
          <w:rFonts w:hint="eastAsia" w:ascii="宋体" w:hAnsi="宋体" w:eastAsia="宋体" w:cs="楷体"/>
          <w:sz w:val="24"/>
          <w:szCs w:val="24"/>
        </w:rPr>
      </w:pPr>
      <w:r>
        <w:rPr>
          <w:rFonts w:hint="eastAsia" w:ascii="宋体" w:hAnsi="宋体" w:eastAsia="宋体" w:cs="楷体"/>
          <w:sz w:val="24"/>
          <w:szCs w:val="24"/>
        </w:rPr>
      </w:r>
      <w:r/>
    </w:p>
    <w:p>
      <w:pPr>
        <w:ind w:firstLine="2570"/>
        <w:spacing w:line="360" w:lineRule="auto"/>
        <w:rPr>
          <w:rFonts w:hint="eastAsia" w:cs="楷体"/>
          <w:b/>
          <w:sz w:val="32"/>
          <w:szCs w:val="32"/>
        </w:rPr>
      </w:pPr>
      <w:r>
        <w:rPr>
          <w:rFonts w:hint="eastAsia" w:cs="楷体"/>
          <w:b/>
          <w:sz w:val="32"/>
          <w:szCs w:val="32"/>
        </w:rPr>
        <w:t xml:space="preserve">中小企业声明函(货物)</w:t>
      </w:r>
      <w:r/>
    </w:p>
    <w:p>
      <w:pPr>
        <w:ind w:firstLine="480"/>
        <w:spacing w:line="440" w:lineRule="exact"/>
        <w:rPr>
          <w:rFonts w:hint="eastAsia" w:cs="楷体"/>
        </w:rPr>
      </w:pPr>
      <w:r>
        <w:rPr>
          <w:rFonts w:hint="eastAsia" w:cs="楷体"/>
        </w:rPr>
        <w:t xml:space="preserve">本公司（联合体）郑重申明,根据《政府采购促进中小企业发展管理办法》（财库【2020】46号）的规定，本公司（联合体）参加</w:t>
      </w:r>
      <w:r>
        <w:rPr>
          <w:rFonts w:hint="eastAsia" w:cs="楷体"/>
          <w:u w:val="single"/>
        </w:rPr>
        <w:t xml:space="preserve"> 常州市武进绿色建筑产业集聚示范区管理委员会</w:t>
      </w:r>
      <w:r>
        <w:rPr>
          <w:rFonts w:hint="eastAsia" w:cs="楷体"/>
        </w:rPr>
        <w:t xml:space="preserve">（采购单位名称）的</w:t>
      </w:r>
      <w:r>
        <w:rPr>
          <w:rFonts w:hint="eastAsia" w:cs="楷体"/>
          <w:u w:val="single"/>
        </w:rPr>
        <w:t xml:space="preserve">江苏理工学院武进绿建区协同创新园新建工程二期项目9号楼、33号楼厨房设备采购（二包）</w:t>
      </w:r>
      <w:r>
        <w:rPr>
          <w:rFonts w:hint="eastAsia" w:cs="楷体"/>
        </w:rPr>
        <w:t xml:space="preserve">（项目名称）采购活动，提供的货物全部由符合政策要求的中小企业制造。相关企业（含联合体中的中小企业、签订分包意向协议的中小企业）的具体情况如下：</w:t>
      </w:r>
      <w:r/>
    </w:p>
    <w:p>
      <w:pPr>
        <w:pStyle w:val="1146"/>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w:t>
      </w:r>
      <w:r>
        <w:rPr>
          <w:rFonts w:hint="eastAsia" w:ascii="宋体" w:hAnsi="宋体" w:eastAsia="宋体" w:cs="楷体"/>
          <w:sz w:val="24"/>
          <w:szCs w:val="24"/>
          <w:u w:val="single"/>
        </w:rPr>
        <w:t xml:space="preserve">厨房灭火系统1</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2、</w:t>
      </w:r>
      <w:r>
        <w:rPr>
          <w:rFonts w:hint="eastAsia" w:ascii="宋体" w:hAnsi="宋体" w:eastAsia="宋体" w:cs="楷体"/>
          <w:sz w:val="24"/>
          <w:szCs w:val="24"/>
          <w:u w:val="single"/>
        </w:rPr>
        <w:t xml:space="preserve">厨房灭火系统2</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3、</w:t>
      </w:r>
      <w:r>
        <w:rPr>
          <w:rFonts w:hint="eastAsia" w:ascii="宋体" w:hAnsi="宋体" w:eastAsia="宋体" w:cs="楷体"/>
          <w:sz w:val="24"/>
          <w:szCs w:val="24"/>
          <w:u w:val="single"/>
        </w:rPr>
        <w:t xml:space="preserve">四层冲孔货架1</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4、</w:t>
      </w:r>
      <w:r>
        <w:rPr>
          <w:rFonts w:hint="eastAsia" w:ascii="宋体" w:hAnsi="宋体" w:eastAsia="宋体" w:cs="楷体"/>
          <w:sz w:val="24"/>
          <w:szCs w:val="24"/>
          <w:u w:val="single"/>
        </w:rPr>
        <w:t xml:space="preserve">四层冲孔货架2</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5、</w:t>
      </w:r>
      <w:r>
        <w:rPr>
          <w:rFonts w:hint="eastAsia" w:ascii="宋体" w:hAnsi="宋体" w:eastAsia="宋体" w:cs="楷体"/>
          <w:sz w:val="24"/>
          <w:szCs w:val="24"/>
          <w:u w:val="single"/>
        </w:rPr>
        <w:t xml:space="preserve">四层平板货架1</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6、</w:t>
      </w:r>
      <w:r>
        <w:rPr>
          <w:rFonts w:hint="eastAsia" w:ascii="宋体" w:hAnsi="宋体" w:eastAsia="宋体" w:cs="楷体"/>
          <w:sz w:val="24"/>
          <w:szCs w:val="24"/>
          <w:u w:val="single"/>
        </w:rPr>
        <w:t xml:space="preserve">四层平板货架2</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7、</w:t>
      </w:r>
      <w:r>
        <w:rPr>
          <w:rFonts w:hint="eastAsia" w:ascii="宋体" w:hAnsi="宋体" w:eastAsia="宋体" w:cs="楷体"/>
          <w:sz w:val="24"/>
          <w:szCs w:val="24"/>
          <w:u w:val="single"/>
        </w:rPr>
        <w:t xml:space="preserve">米面架1</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8、</w:t>
      </w:r>
      <w:r>
        <w:rPr>
          <w:rFonts w:hint="eastAsia" w:ascii="宋体" w:hAnsi="宋体" w:eastAsia="宋体" w:cs="楷体"/>
          <w:sz w:val="24"/>
          <w:szCs w:val="24"/>
          <w:u w:val="single"/>
        </w:rPr>
        <w:t xml:space="preserve">米面架2</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9、</w:t>
      </w:r>
      <w:r>
        <w:rPr>
          <w:rFonts w:hint="eastAsia" w:ascii="宋体" w:hAnsi="宋体" w:eastAsia="宋体" w:cs="楷体"/>
          <w:sz w:val="24"/>
          <w:szCs w:val="24"/>
          <w:u w:val="single"/>
        </w:rPr>
        <w:t xml:space="preserve">双层工作台1</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10、</w:t>
      </w:r>
      <w:r>
        <w:rPr>
          <w:rFonts w:hint="eastAsia" w:ascii="宋体" w:hAnsi="宋体" w:eastAsia="宋体" w:cs="楷体"/>
          <w:sz w:val="24"/>
          <w:szCs w:val="24"/>
          <w:u w:val="single"/>
        </w:rPr>
        <w:t xml:space="preserve">双层工作台2</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11、</w:t>
      </w:r>
      <w:r>
        <w:rPr>
          <w:rFonts w:hint="eastAsia" w:ascii="宋体" w:hAnsi="宋体" w:eastAsia="宋体" w:cs="楷体"/>
          <w:sz w:val="24"/>
          <w:szCs w:val="24"/>
          <w:u w:val="single"/>
        </w:rPr>
        <w:t xml:space="preserve">双层工作台3</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12、</w:t>
      </w:r>
      <w:r>
        <w:rPr>
          <w:rFonts w:hint="eastAsia" w:ascii="宋体" w:hAnsi="宋体" w:eastAsia="宋体" w:cs="楷体"/>
          <w:sz w:val="24"/>
          <w:szCs w:val="24"/>
          <w:u w:val="single"/>
        </w:rPr>
        <w:t xml:space="preserve">双层工作台4</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13、</w:t>
      </w:r>
      <w:r>
        <w:rPr>
          <w:rFonts w:hint="eastAsia" w:ascii="宋体" w:hAnsi="宋体" w:eastAsia="宋体" w:cs="楷体"/>
          <w:sz w:val="24"/>
          <w:szCs w:val="24"/>
          <w:u w:val="single"/>
        </w:rPr>
        <w:t xml:space="preserve">双层工作台5</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14、</w:t>
      </w:r>
      <w:r>
        <w:rPr>
          <w:rFonts w:hint="eastAsia" w:ascii="宋体" w:hAnsi="宋体" w:eastAsia="宋体" w:cs="楷体"/>
          <w:sz w:val="24"/>
          <w:szCs w:val="24"/>
          <w:u w:val="single"/>
        </w:rPr>
        <w:t xml:space="preserve">双层工作台6</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15、</w:t>
      </w:r>
      <w:r>
        <w:rPr>
          <w:rFonts w:hint="eastAsia" w:ascii="宋体" w:hAnsi="宋体" w:eastAsia="宋体" w:cs="楷体"/>
          <w:sz w:val="24"/>
          <w:szCs w:val="24"/>
          <w:u w:val="single"/>
        </w:rPr>
        <w:t xml:space="preserve">双层工作台7</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16、</w:t>
      </w:r>
      <w:r>
        <w:rPr>
          <w:rFonts w:hint="eastAsia" w:ascii="宋体" w:hAnsi="宋体" w:eastAsia="宋体" w:cs="楷体"/>
          <w:sz w:val="24"/>
          <w:szCs w:val="24"/>
          <w:u w:val="single"/>
        </w:rPr>
        <w:t xml:space="preserve">双层工作台8</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17、</w:t>
      </w:r>
      <w:r>
        <w:rPr>
          <w:rFonts w:hint="eastAsia" w:ascii="宋体" w:hAnsi="宋体" w:eastAsia="宋体" w:cs="楷体"/>
          <w:sz w:val="24"/>
          <w:szCs w:val="24"/>
          <w:u w:val="single"/>
        </w:rPr>
        <w:t xml:space="preserve">双层工作台9</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18、</w:t>
      </w:r>
      <w:r>
        <w:rPr>
          <w:rFonts w:hint="eastAsia" w:ascii="宋体" w:hAnsi="宋体" w:eastAsia="宋体" w:cs="楷体"/>
          <w:sz w:val="24"/>
          <w:szCs w:val="24"/>
          <w:u w:val="single"/>
        </w:rPr>
        <w:t xml:space="preserve">双层工作台10</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19、</w:t>
      </w:r>
      <w:r>
        <w:rPr>
          <w:rFonts w:hint="eastAsia" w:ascii="宋体" w:hAnsi="宋体" w:eastAsia="宋体" w:cs="楷体"/>
          <w:sz w:val="24"/>
          <w:szCs w:val="24"/>
          <w:u w:val="single"/>
        </w:rPr>
        <w:t xml:space="preserve">双层工作台11</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20、</w:t>
      </w:r>
      <w:r>
        <w:rPr>
          <w:rFonts w:hint="eastAsia" w:ascii="宋体" w:hAnsi="宋体" w:eastAsia="宋体" w:cs="楷体"/>
          <w:sz w:val="24"/>
          <w:szCs w:val="24"/>
          <w:u w:val="single"/>
        </w:rPr>
        <w:t xml:space="preserve">双层工作台12</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21、</w:t>
      </w:r>
      <w:r>
        <w:rPr>
          <w:rFonts w:hint="eastAsia" w:ascii="宋体" w:hAnsi="宋体" w:eastAsia="宋体" w:cs="楷体"/>
          <w:sz w:val="24"/>
          <w:szCs w:val="24"/>
          <w:u w:val="single"/>
        </w:rPr>
        <w:t xml:space="preserve">双层工作台13</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22、</w:t>
      </w:r>
      <w:r>
        <w:rPr>
          <w:rFonts w:hint="eastAsia" w:ascii="宋体" w:hAnsi="宋体" w:eastAsia="宋体" w:cs="楷体"/>
          <w:sz w:val="24"/>
          <w:szCs w:val="24"/>
          <w:u w:val="single"/>
        </w:rPr>
        <w:t xml:space="preserve">双层工作台14</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23、</w:t>
      </w:r>
      <w:r>
        <w:rPr>
          <w:rFonts w:hint="eastAsia" w:ascii="宋体" w:hAnsi="宋体" w:eastAsia="宋体" w:cs="楷体"/>
          <w:sz w:val="24"/>
          <w:szCs w:val="24"/>
          <w:u w:val="single"/>
        </w:rPr>
        <w:t xml:space="preserve">双层工作台15</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24、</w:t>
      </w:r>
      <w:r>
        <w:rPr>
          <w:rFonts w:hint="eastAsia" w:ascii="宋体" w:hAnsi="宋体" w:eastAsia="宋体" w:cs="楷体"/>
          <w:sz w:val="24"/>
          <w:szCs w:val="24"/>
          <w:u w:val="single"/>
        </w:rPr>
        <w:t xml:space="preserve">双层工作台16</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25、</w:t>
      </w:r>
      <w:r>
        <w:rPr>
          <w:rFonts w:hint="eastAsia" w:ascii="宋体" w:hAnsi="宋体" w:eastAsia="宋体" w:cs="楷体"/>
          <w:sz w:val="24"/>
          <w:szCs w:val="24"/>
          <w:u w:val="single"/>
        </w:rPr>
        <w:t xml:space="preserve">活动双层工作台</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26、</w:t>
      </w:r>
      <w:r>
        <w:rPr>
          <w:rFonts w:hint="eastAsia" w:ascii="宋体" w:hAnsi="宋体" w:eastAsia="宋体" w:cs="楷体"/>
          <w:sz w:val="24"/>
          <w:szCs w:val="24"/>
          <w:u w:val="single"/>
        </w:rPr>
        <w:t xml:space="preserve">异型双层工作台1</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27、</w:t>
      </w:r>
      <w:r>
        <w:rPr>
          <w:rFonts w:hint="eastAsia" w:ascii="宋体" w:hAnsi="宋体" w:eastAsia="宋体" w:cs="楷体"/>
          <w:sz w:val="24"/>
          <w:szCs w:val="24"/>
          <w:u w:val="single"/>
        </w:rPr>
        <w:t xml:space="preserve">异型双层工作台2</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28、</w:t>
      </w:r>
      <w:r>
        <w:rPr>
          <w:rFonts w:hint="eastAsia" w:ascii="宋体" w:hAnsi="宋体" w:eastAsia="宋体" w:cs="楷体"/>
          <w:sz w:val="24"/>
          <w:szCs w:val="24"/>
          <w:u w:val="single"/>
        </w:rPr>
        <w:t xml:space="preserve">单通工作台柜1</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29、</w:t>
      </w:r>
      <w:r>
        <w:rPr>
          <w:rFonts w:hint="eastAsia" w:ascii="宋体" w:hAnsi="宋体" w:eastAsia="宋体" w:cs="楷体"/>
          <w:sz w:val="24"/>
          <w:szCs w:val="24"/>
          <w:u w:val="single"/>
        </w:rPr>
        <w:t xml:space="preserve">单通工作台柜2</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30、</w:t>
      </w:r>
      <w:r>
        <w:rPr>
          <w:rFonts w:hint="eastAsia" w:ascii="宋体" w:hAnsi="宋体" w:eastAsia="宋体" w:cs="楷体"/>
          <w:sz w:val="24"/>
          <w:szCs w:val="24"/>
          <w:u w:val="single"/>
        </w:rPr>
        <w:t xml:space="preserve">单通工作台柜3</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31、</w:t>
      </w:r>
      <w:r>
        <w:rPr>
          <w:rFonts w:hint="eastAsia" w:ascii="宋体" w:hAnsi="宋体" w:eastAsia="宋体" w:cs="楷体"/>
          <w:sz w:val="24"/>
          <w:szCs w:val="24"/>
          <w:u w:val="single"/>
        </w:rPr>
        <w:t xml:space="preserve">单通工作台柜4</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32、</w:t>
      </w:r>
      <w:r>
        <w:rPr>
          <w:rFonts w:hint="eastAsia" w:ascii="宋体" w:hAnsi="宋体" w:eastAsia="宋体" w:cs="楷体"/>
          <w:sz w:val="24"/>
          <w:szCs w:val="24"/>
          <w:u w:val="single"/>
        </w:rPr>
        <w:t xml:space="preserve">单通工作台柜5</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33、</w:t>
      </w:r>
      <w:r>
        <w:rPr>
          <w:rFonts w:hint="eastAsia" w:ascii="宋体" w:hAnsi="宋体" w:eastAsia="宋体" w:cs="楷体"/>
          <w:sz w:val="24"/>
          <w:szCs w:val="24"/>
          <w:u w:val="single"/>
        </w:rPr>
        <w:t xml:space="preserve">单通工作台柜6</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34、</w:t>
      </w:r>
      <w:r>
        <w:rPr>
          <w:rFonts w:hint="eastAsia" w:ascii="宋体" w:hAnsi="宋体" w:eastAsia="宋体" w:cs="楷体"/>
          <w:sz w:val="24"/>
          <w:szCs w:val="24"/>
          <w:u w:val="single"/>
        </w:rPr>
        <w:t xml:space="preserve">木案工作台</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35、</w:t>
      </w:r>
      <w:r>
        <w:rPr>
          <w:rFonts w:hint="eastAsia" w:ascii="宋体" w:hAnsi="宋体" w:eastAsia="宋体" w:cs="楷体"/>
          <w:sz w:val="24"/>
          <w:szCs w:val="24"/>
          <w:u w:val="single"/>
        </w:rPr>
        <w:t xml:space="preserve">双通工作台柜</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36、</w:t>
      </w:r>
      <w:r>
        <w:rPr>
          <w:rFonts w:hint="eastAsia" w:ascii="宋体" w:hAnsi="宋体" w:eastAsia="宋体" w:cs="楷体"/>
          <w:sz w:val="24"/>
          <w:szCs w:val="24"/>
          <w:u w:val="single"/>
        </w:rPr>
        <w:t xml:space="preserve">洗手星</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37、</w:t>
      </w:r>
      <w:r>
        <w:rPr>
          <w:rFonts w:hint="eastAsia" w:ascii="宋体" w:hAnsi="宋体" w:eastAsia="宋体" w:cs="楷体"/>
          <w:sz w:val="24"/>
          <w:szCs w:val="24"/>
          <w:u w:val="single"/>
        </w:rPr>
        <w:t xml:space="preserve">双星洗手星</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38、</w:t>
      </w:r>
      <w:r>
        <w:rPr>
          <w:rFonts w:hint="eastAsia" w:ascii="宋体" w:hAnsi="宋体" w:eastAsia="宋体" w:cs="楷体"/>
          <w:sz w:val="24"/>
          <w:szCs w:val="24"/>
          <w:u w:val="single"/>
        </w:rPr>
        <w:t xml:space="preserve">大单星盆水池1</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39、</w:t>
      </w:r>
      <w:r>
        <w:rPr>
          <w:rFonts w:hint="eastAsia" w:ascii="宋体" w:hAnsi="宋体" w:eastAsia="宋体" w:cs="楷体"/>
          <w:sz w:val="24"/>
          <w:szCs w:val="24"/>
          <w:u w:val="single"/>
        </w:rPr>
        <w:t xml:space="preserve">大单星盆水池2</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40、</w:t>
      </w:r>
      <w:r>
        <w:rPr>
          <w:rFonts w:hint="eastAsia" w:ascii="宋体" w:hAnsi="宋体" w:eastAsia="宋体" w:cs="楷体"/>
          <w:sz w:val="24"/>
          <w:szCs w:val="24"/>
          <w:u w:val="single"/>
        </w:rPr>
        <w:t xml:space="preserve">大单星盆水池3</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41、</w:t>
      </w:r>
      <w:r>
        <w:rPr>
          <w:rFonts w:hint="eastAsia" w:ascii="宋体" w:hAnsi="宋体" w:eastAsia="宋体" w:cs="楷体"/>
          <w:sz w:val="24"/>
          <w:szCs w:val="24"/>
          <w:u w:val="single"/>
        </w:rPr>
        <w:t xml:space="preserve">大单星盆水池4</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42、</w:t>
      </w:r>
      <w:r>
        <w:rPr>
          <w:rFonts w:hint="eastAsia" w:ascii="宋体" w:hAnsi="宋体" w:eastAsia="宋体" w:cs="楷体"/>
          <w:sz w:val="24"/>
          <w:szCs w:val="24"/>
          <w:u w:val="single"/>
        </w:rPr>
        <w:t xml:space="preserve">大单星盆水池5</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43、</w:t>
      </w:r>
      <w:r>
        <w:rPr>
          <w:rFonts w:hint="eastAsia" w:ascii="宋体" w:hAnsi="宋体" w:eastAsia="宋体" w:cs="楷体"/>
          <w:sz w:val="24"/>
          <w:szCs w:val="24"/>
          <w:u w:val="single"/>
        </w:rPr>
        <w:t xml:space="preserve">单星盆水池</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44、</w:t>
      </w:r>
      <w:r>
        <w:rPr>
          <w:rFonts w:hint="eastAsia" w:ascii="宋体" w:hAnsi="宋体" w:eastAsia="宋体" w:cs="楷体"/>
          <w:sz w:val="24"/>
          <w:szCs w:val="24"/>
          <w:u w:val="single"/>
        </w:rPr>
        <w:t xml:space="preserve">单星盆水池柜1</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45、</w:t>
      </w:r>
      <w:r>
        <w:rPr>
          <w:rFonts w:hint="eastAsia" w:ascii="宋体" w:hAnsi="宋体" w:eastAsia="宋体" w:cs="楷体"/>
          <w:sz w:val="24"/>
          <w:szCs w:val="24"/>
          <w:u w:val="single"/>
        </w:rPr>
        <w:t xml:space="preserve">单星盆水池柜2</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46、</w:t>
      </w:r>
      <w:r>
        <w:rPr>
          <w:rFonts w:hint="eastAsia" w:ascii="宋体" w:hAnsi="宋体" w:eastAsia="宋体" w:cs="楷体"/>
          <w:sz w:val="24"/>
          <w:szCs w:val="24"/>
          <w:u w:val="single"/>
        </w:rPr>
        <w:t xml:space="preserve">双星盆水池1</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47、</w:t>
      </w:r>
      <w:r>
        <w:rPr>
          <w:rFonts w:hint="eastAsia" w:ascii="宋体" w:hAnsi="宋体" w:eastAsia="宋体" w:cs="楷体"/>
          <w:sz w:val="24"/>
          <w:szCs w:val="24"/>
          <w:u w:val="single"/>
        </w:rPr>
        <w:t xml:space="preserve">双星盆水池2</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48、</w:t>
      </w:r>
      <w:r>
        <w:rPr>
          <w:rFonts w:hint="eastAsia" w:ascii="宋体" w:hAnsi="宋体" w:eastAsia="宋体" w:cs="楷体"/>
          <w:sz w:val="24"/>
          <w:szCs w:val="24"/>
          <w:u w:val="single"/>
        </w:rPr>
        <w:t xml:space="preserve">双星盆水池3</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49、</w:t>
      </w:r>
      <w:r>
        <w:rPr>
          <w:rFonts w:hint="eastAsia" w:ascii="宋体" w:hAnsi="宋体" w:eastAsia="宋体" w:cs="楷体"/>
          <w:sz w:val="24"/>
          <w:szCs w:val="24"/>
          <w:u w:val="single"/>
        </w:rPr>
        <w:t xml:space="preserve">双星盆水池4</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50、</w:t>
      </w:r>
      <w:r>
        <w:rPr>
          <w:rFonts w:hint="eastAsia" w:ascii="宋体" w:hAnsi="宋体" w:eastAsia="宋体" w:cs="楷体"/>
          <w:sz w:val="24"/>
          <w:szCs w:val="24"/>
          <w:u w:val="single"/>
        </w:rPr>
        <w:t xml:space="preserve">双星水池柜</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51、</w:t>
      </w:r>
      <w:r>
        <w:rPr>
          <w:rFonts w:hint="eastAsia" w:ascii="宋体" w:hAnsi="宋体" w:eastAsia="宋体" w:cs="楷体"/>
          <w:sz w:val="24"/>
          <w:szCs w:val="24"/>
          <w:u w:val="single"/>
        </w:rPr>
        <w:t xml:space="preserve">三星盆水池</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52、</w:t>
      </w:r>
      <w:r>
        <w:rPr>
          <w:rFonts w:hint="eastAsia" w:ascii="宋体" w:hAnsi="宋体" w:eastAsia="宋体" w:cs="楷体"/>
          <w:sz w:val="24"/>
          <w:szCs w:val="24"/>
          <w:u w:val="single"/>
        </w:rPr>
        <w:t xml:space="preserve">单孔污碟台1</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53、</w:t>
      </w:r>
      <w:r>
        <w:rPr>
          <w:rFonts w:hint="eastAsia" w:ascii="宋体" w:hAnsi="宋体" w:eastAsia="宋体" w:cs="楷体"/>
          <w:sz w:val="24"/>
          <w:szCs w:val="24"/>
          <w:u w:val="single"/>
        </w:rPr>
        <w:t xml:space="preserve">单孔污碟台2</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工业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54、</w:t>
      </w:r>
      <w:r>
        <w:rPr>
          <w:rFonts w:hint="eastAsia" w:ascii="宋体" w:hAnsi="宋体" w:eastAsia="宋体" w:cs="楷体"/>
          <w:sz w:val="24"/>
          <w:szCs w:val="24"/>
          <w:u w:val="single"/>
        </w:rPr>
        <w:t xml:space="preserve">单孔污碟台3</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55、</w:t>
      </w:r>
      <w:r>
        <w:rPr>
          <w:rFonts w:hint="eastAsia" w:ascii="宋体" w:hAnsi="宋体" w:eastAsia="宋体" w:cs="楷体"/>
          <w:sz w:val="24"/>
          <w:szCs w:val="24"/>
          <w:u w:val="single"/>
        </w:rPr>
        <w:t xml:space="preserve">单孔污碟台柜</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56、</w:t>
      </w:r>
      <w:r>
        <w:rPr>
          <w:rFonts w:hint="eastAsia" w:ascii="宋体" w:hAnsi="宋体" w:eastAsia="宋体" w:cs="楷体"/>
          <w:sz w:val="24"/>
          <w:szCs w:val="24"/>
          <w:u w:val="single"/>
        </w:rPr>
        <w:t xml:space="preserve">双孔污碟台</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57、</w:t>
      </w:r>
      <w:r>
        <w:rPr>
          <w:rFonts w:hint="eastAsia" w:ascii="宋体" w:hAnsi="宋体" w:eastAsia="宋体" w:cs="楷体"/>
          <w:sz w:val="24"/>
          <w:szCs w:val="24"/>
          <w:u w:val="single"/>
        </w:rPr>
        <w:t xml:space="preserve">单星杀鱼台</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58、</w:t>
      </w:r>
      <w:r>
        <w:rPr>
          <w:rFonts w:hint="eastAsia" w:ascii="宋体" w:hAnsi="宋体" w:eastAsia="宋体" w:cs="楷体"/>
          <w:sz w:val="24"/>
          <w:szCs w:val="24"/>
          <w:u w:val="single"/>
        </w:rPr>
        <w:t xml:space="preserve">单门蒸饭柜</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59、</w:t>
      </w:r>
      <w:r>
        <w:rPr>
          <w:rFonts w:hint="eastAsia" w:ascii="宋体" w:hAnsi="宋体" w:eastAsia="宋体" w:cs="楷体"/>
          <w:sz w:val="24"/>
          <w:szCs w:val="24"/>
          <w:u w:val="single"/>
        </w:rPr>
        <w:t xml:space="preserve">双门蒸饭柜</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60、</w:t>
      </w:r>
      <w:r>
        <w:rPr>
          <w:rFonts w:hint="eastAsia" w:ascii="宋体" w:hAnsi="宋体" w:eastAsia="宋体" w:cs="楷体"/>
          <w:sz w:val="24"/>
          <w:szCs w:val="24"/>
          <w:u w:val="single"/>
        </w:rPr>
        <w:t xml:space="preserve">三门蒸柜</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61、</w:t>
      </w:r>
      <w:r>
        <w:rPr>
          <w:rFonts w:hint="eastAsia" w:ascii="宋体" w:hAnsi="宋体" w:eastAsia="宋体" w:cs="楷体"/>
          <w:sz w:val="24"/>
          <w:szCs w:val="24"/>
          <w:u w:val="single"/>
        </w:rPr>
        <w:t xml:space="preserve">燃气推车蒸柜</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62、</w:t>
      </w:r>
      <w:r>
        <w:rPr>
          <w:rFonts w:hint="eastAsia" w:ascii="宋体" w:hAnsi="宋体" w:eastAsia="宋体" w:cs="楷体"/>
          <w:sz w:val="24"/>
          <w:szCs w:val="24"/>
          <w:u w:val="single"/>
        </w:rPr>
        <w:t xml:space="preserve">燃气蒸汽发生器</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63、</w:t>
      </w:r>
      <w:r>
        <w:rPr>
          <w:rFonts w:hint="eastAsia" w:ascii="宋体" w:hAnsi="宋体" w:eastAsia="宋体" w:cs="楷体"/>
          <w:sz w:val="24"/>
          <w:szCs w:val="24"/>
          <w:u w:val="single"/>
        </w:rPr>
        <w:t xml:space="preserve">单头单尾炒灶</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64、</w:t>
      </w:r>
      <w:r>
        <w:rPr>
          <w:rFonts w:hint="eastAsia" w:ascii="宋体" w:hAnsi="宋体" w:eastAsia="宋体" w:cs="楷体"/>
          <w:sz w:val="24"/>
          <w:szCs w:val="24"/>
          <w:u w:val="single"/>
        </w:rPr>
        <w:t xml:space="preserve">双头大锅灶</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65、</w:t>
      </w:r>
      <w:r>
        <w:rPr>
          <w:rFonts w:hint="eastAsia" w:ascii="宋体" w:hAnsi="宋体" w:eastAsia="宋体" w:cs="楷体"/>
          <w:sz w:val="24"/>
          <w:szCs w:val="24"/>
          <w:u w:val="single"/>
        </w:rPr>
        <w:t xml:space="preserve">双头单尾炒灶</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66、</w:t>
      </w:r>
      <w:r>
        <w:rPr>
          <w:rFonts w:hint="eastAsia" w:ascii="宋体" w:hAnsi="宋体" w:eastAsia="宋体" w:cs="楷体"/>
          <w:sz w:val="24"/>
          <w:szCs w:val="24"/>
          <w:u w:val="single"/>
        </w:rPr>
        <w:t xml:space="preserve">双头双尾炒灶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67、</w:t>
      </w:r>
      <w:r>
        <w:rPr>
          <w:rFonts w:hint="eastAsia" w:ascii="宋体" w:hAnsi="宋体" w:eastAsia="宋体" w:cs="楷体"/>
          <w:sz w:val="24"/>
          <w:szCs w:val="24"/>
          <w:u w:val="single"/>
        </w:rPr>
        <w:t xml:space="preserve">大锅灶连单炒单尾</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68、</w:t>
      </w:r>
      <w:r>
        <w:rPr>
          <w:rFonts w:hint="eastAsia" w:ascii="宋体" w:hAnsi="宋体" w:eastAsia="宋体" w:cs="楷体"/>
          <w:sz w:val="24"/>
          <w:szCs w:val="24"/>
          <w:u w:val="single"/>
        </w:rPr>
        <w:t xml:space="preserve">感应龙头</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69、</w:t>
      </w:r>
      <w:r>
        <w:rPr>
          <w:rFonts w:hint="eastAsia" w:ascii="宋体" w:hAnsi="宋体" w:eastAsia="宋体" w:cs="楷体"/>
          <w:sz w:val="24"/>
          <w:szCs w:val="24"/>
          <w:u w:val="single"/>
        </w:rPr>
        <w:t xml:space="preserve">双温高压花洒龙头</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70、</w:t>
      </w:r>
      <w:r>
        <w:rPr>
          <w:rFonts w:hint="eastAsia" w:ascii="宋体" w:hAnsi="宋体" w:eastAsia="宋体" w:cs="楷体"/>
          <w:sz w:val="24"/>
          <w:szCs w:val="24"/>
          <w:u w:val="single"/>
        </w:rPr>
        <w:t xml:space="preserve">双温混水龙头</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71、</w:t>
      </w:r>
      <w:r>
        <w:rPr>
          <w:rFonts w:hint="eastAsia" w:ascii="宋体" w:hAnsi="宋体" w:eastAsia="宋体" w:cs="楷体"/>
          <w:sz w:val="24"/>
          <w:szCs w:val="24"/>
          <w:u w:val="single"/>
        </w:rPr>
        <w:t xml:space="preserve">洗地龙头</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72、</w:t>
      </w:r>
      <w:r>
        <w:rPr>
          <w:rFonts w:hint="eastAsia" w:ascii="宋体" w:hAnsi="宋体" w:eastAsia="宋体" w:cs="楷体"/>
          <w:sz w:val="24"/>
          <w:szCs w:val="24"/>
          <w:u w:val="single"/>
        </w:rPr>
        <w:t xml:space="preserve">摇摆水龙头1</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73、</w:t>
      </w:r>
      <w:r>
        <w:rPr>
          <w:rFonts w:hint="eastAsia" w:ascii="宋体" w:hAnsi="宋体" w:eastAsia="宋体" w:cs="楷体"/>
          <w:sz w:val="24"/>
          <w:szCs w:val="24"/>
          <w:u w:val="single"/>
        </w:rPr>
        <w:t xml:space="preserve">摇摆水龙头2</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74、</w:t>
      </w:r>
      <w:r>
        <w:rPr>
          <w:rFonts w:hint="eastAsia" w:ascii="宋体" w:hAnsi="宋体" w:eastAsia="宋体" w:cs="楷体"/>
          <w:sz w:val="24"/>
          <w:szCs w:val="24"/>
          <w:u w:val="single"/>
        </w:rPr>
        <w:t xml:space="preserve">摇摆水龙头3</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75、</w:t>
      </w:r>
      <w:r>
        <w:rPr>
          <w:rFonts w:hint="eastAsia" w:ascii="宋体" w:hAnsi="宋体" w:eastAsia="宋体" w:cs="楷体"/>
          <w:sz w:val="24"/>
          <w:szCs w:val="24"/>
          <w:u w:val="single"/>
        </w:rPr>
        <w:t xml:space="preserve">摇摆水龙头4</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76、</w:t>
      </w:r>
      <w:r>
        <w:rPr>
          <w:rFonts w:hint="eastAsia" w:ascii="宋体" w:hAnsi="宋体" w:eastAsia="宋体" w:cs="楷体"/>
          <w:sz w:val="24"/>
          <w:szCs w:val="24"/>
          <w:u w:val="single"/>
        </w:rPr>
        <w:t xml:space="preserve">摇摆水龙头5</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77、</w:t>
      </w:r>
      <w:r>
        <w:rPr>
          <w:rFonts w:hint="eastAsia" w:ascii="宋体" w:hAnsi="宋体" w:eastAsia="宋体" w:cs="楷体"/>
          <w:sz w:val="24"/>
          <w:szCs w:val="24"/>
          <w:u w:val="single"/>
        </w:rPr>
        <w:t xml:space="preserve">净水器</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ind w:firstLine="480"/>
        <w:spacing w:line="440" w:lineRule="exact"/>
        <w:rPr>
          <w:rFonts w:hint="eastAsia" w:ascii="宋体" w:hAnsi="宋体" w:eastAsia="宋体" w:cs="楷体"/>
          <w:sz w:val="24"/>
          <w:szCs w:val="24"/>
          <w:u w:val="single"/>
        </w:rPr>
      </w:pPr>
      <w:r>
        <w:rPr>
          <w:rFonts w:hint="eastAsia" w:ascii="宋体" w:hAnsi="宋体" w:eastAsia="宋体" w:cs="楷体"/>
          <w:sz w:val="24"/>
          <w:szCs w:val="24"/>
        </w:rPr>
        <w:t xml:space="preserve">78、</w:t>
      </w:r>
      <w:r>
        <w:rPr>
          <w:rFonts w:hint="eastAsia" w:ascii="宋体" w:hAnsi="宋体" w:eastAsia="宋体" w:cs="楷体"/>
          <w:sz w:val="24"/>
          <w:szCs w:val="24"/>
          <w:u w:val="single"/>
        </w:rPr>
        <w:t xml:space="preserve">下沉式冷藏库（-1~+4℃）</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79、</w:t>
      </w:r>
      <w:r>
        <w:rPr>
          <w:rFonts w:hint="eastAsia" w:ascii="宋体" w:hAnsi="宋体" w:eastAsia="宋体" w:cs="楷体"/>
          <w:sz w:val="24"/>
          <w:szCs w:val="24"/>
          <w:u w:val="single"/>
        </w:rPr>
        <w:t xml:space="preserve">下沉式冷冻库（-25~-15℃）</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80、</w:t>
      </w:r>
      <w:r>
        <w:rPr>
          <w:rFonts w:hint="eastAsia" w:ascii="宋体" w:hAnsi="宋体" w:eastAsia="宋体" w:cs="楷体"/>
          <w:sz w:val="24"/>
          <w:szCs w:val="24"/>
          <w:u w:val="single"/>
        </w:rPr>
        <w:t xml:space="preserve">刀具消毒柜</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81、</w:t>
      </w:r>
      <w:r>
        <w:rPr>
          <w:rFonts w:hint="eastAsia" w:ascii="宋体" w:hAnsi="宋体" w:eastAsia="宋体" w:cs="楷体"/>
          <w:sz w:val="24"/>
          <w:szCs w:val="24"/>
          <w:u w:val="single"/>
        </w:rPr>
        <w:t xml:space="preserve">热风循环消毒柜</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82、</w:t>
      </w:r>
      <w:r>
        <w:rPr>
          <w:rFonts w:hint="eastAsia" w:ascii="宋体" w:hAnsi="宋体" w:eastAsia="宋体" w:cs="楷体"/>
          <w:sz w:val="24"/>
          <w:szCs w:val="24"/>
          <w:u w:val="single"/>
        </w:rPr>
        <w:t xml:space="preserve">挂墙单层架1</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ind w:firstLine="480"/>
        <w:spacing w:before="0" w:after="0" w:line="440" w:lineRule="exact"/>
        <w:rPr>
          <w:rFonts w:hint="eastAsia" w:ascii="宋体" w:hAnsi="宋体" w:eastAsia="宋体" w:cs="楷体"/>
          <w:sz w:val="24"/>
          <w:szCs w:val="24"/>
        </w:rPr>
      </w:pPr>
      <w:r>
        <w:rPr>
          <w:rFonts w:ascii="宋体" w:hAnsi="宋体" w:eastAsia="宋体" w:cs="楷体"/>
          <w:sz w:val="24"/>
          <w:szCs w:val="24"/>
        </w:rPr>
        <w:t xml:space="preserve">83</w:t>
      </w:r>
      <w:r>
        <w:rPr>
          <w:rFonts w:hint="eastAsia" w:ascii="宋体" w:hAnsi="宋体" w:eastAsia="宋体" w:cs="楷体"/>
          <w:sz w:val="24"/>
          <w:szCs w:val="24"/>
        </w:rPr>
        <w:t xml:space="preserve">、</w:t>
      </w:r>
      <w:r>
        <w:rPr>
          <w:rFonts w:hint="eastAsia" w:ascii="宋体" w:hAnsi="宋体" w:eastAsia="宋体" w:cs="楷体"/>
          <w:sz w:val="24"/>
          <w:szCs w:val="24"/>
          <w:u w:val="single"/>
        </w:rPr>
        <w:t xml:space="preserve">挂墙单层架2</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ind w:firstLine="480"/>
        <w:spacing w:before="0" w:after="0" w:line="440" w:lineRule="exact"/>
        <w:rPr>
          <w:rFonts w:hint="eastAsia" w:ascii="宋体" w:hAnsi="宋体" w:eastAsia="宋体" w:cs="楷体"/>
          <w:sz w:val="24"/>
          <w:szCs w:val="24"/>
        </w:rPr>
      </w:pPr>
      <w:r>
        <w:rPr>
          <w:rFonts w:ascii="宋体" w:hAnsi="宋体" w:eastAsia="宋体" w:cs="楷体"/>
          <w:sz w:val="24"/>
          <w:szCs w:val="24"/>
        </w:rPr>
        <w:t xml:space="preserve">84</w:t>
      </w:r>
      <w:r>
        <w:rPr>
          <w:rFonts w:hint="eastAsia" w:ascii="宋体" w:hAnsi="宋体" w:eastAsia="宋体" w:cs="楷体"/>
          <w:sz w:val="24"/>
          <w:szCs w:val="24"/>
        </w:rPr>
        <w:t xml:space="preserve">、</w:t>
      </w:r>
      <w:r>
        <w:rPr>
          <w:rFonts w:hint="eastAsia" w:ascii="宋体" w:hAnsi="宋体" w:eastAsia="宋体" w:cs="楷体"/>
          <w:sz w:val="24"/>
          <w:szCs w:val="24"/>
          <w:u w:val="single"/>
        </w:rPr>
        <w:t xml:space="preserve">挂墙单层架3</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85、</w:t>
      </w:r>
      <w:r>
        <w:rPr>
          <w:rFonts w:hint="eastAsia" w:ascii="宋体" w:hAnsi="宋体" w:eastAsia="宋体" w:cs="楷体"/>
          <w:sz w:val="24"/>
          <w:szCs w:val="24"/>
          <w:u w:val="single"/>
        </w:rPr>
        <w:t xml:space="preserve">收碗车</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86、</w:t>
      </w:r>
      <w:r>
        <w:rPr>
          <w:rFonts w:hint="eastAsia" w:ascii="宋体" w:hAnsi="宋体" w:eastAsia="宋体" w:cs="楷体"/>
          <w:sz w:val="24"/>
          <w:szCs w:val="24"/>
          <w:u w:val="single"/>
        </w:rPr>
        <w:t xml:space="preserve">开水器带底座</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87、</w:t>
      </w:r>
      <w:r>
        <w:rPr>
          <w:rFonts w:hint="eastAsia" w:ascii="宋体" w:hAnsi="宋体" w:eastAsia="宋体" w:cs="楷体"/>
          <w:sz w:val="24"/>
          <w:szCs w:val="24"/>
          <w:u w:val="single"/>
        </w:rPr>
        <w:t xml:space="preserve">面粉车</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88、</w:t>
      </w:r>
      <w:r>
        <w:rPr>
          <w:rFonts w:hint="eastAsia" w:ascii="宋体" w:hAnsi="宋体" w:eastAsia="宋体" w:cs="楷体"/>
          <w:sz w:val="24"/>
          <w:szCs w:val="24"/>
          <w:u w:val="single"/>
        </w:rPr>
        <w:t xml:space="preserve">和面机</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89、</w:t>
      </w:r>
      <w:r>
        <w:rPr>
          <w:rFonts w:hint="eastAsia" w:ascii="宋体" w:hAnsi="宋体" w:eastAsia="宋体" w:cs="楷体"/>
          <w:sz w:val="24"/>
          <w:szCs w:val="24"/>
          <w:u w:val="single"/>
        </w:rPr>
        <w:t xml:space="preserve">卧式和面机</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90、</w:t>
      </w:r>
      <w:r>
        <w:rPr>
          <w:rFonts w:hint="eastAsia" w:ascii="宋体" w:hAnsi="宋体" w:eastAsia="宋体" w:cs="楷体"/>
          <w:sz w:val="24"/>
          <w:szCs w:val="24"/>
          <w:u w:val="single"/>
        </w:rPr>
        <w:t xml:space="preserve">压面机</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91、</w:t>
      </w:r>
      <w:r>
        <w:rPr>
          <w:rFonts w:hint="eastAsia" w:ascii="宋体" w:hAnsi="宋体" w:eastAsia="宋体" w:cs="楷体"/>
          <w:sz w:val="24"/>
          <w:szCs w:val="24"/>
          <w:u w:val="single"/>
        </w:rPr>
        <w:t xml:space="preserve">绞肉机</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92、</w:t>
      </w:r>
      <w:r>
        <w:rPr>
          <w:rFonts w:hint="eastAsia" w:ascii="宋体" w:hAnsi="宋体" w:eastAsia="宋体" w:cs="楷体"/>
          <w:sz w:val="24"/>
          <w:szCs w:val="24"/>
          <w:u w:val="single"/>
        </w:rPr>
        <w:t xml:space="preserve">搅拌机</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93、</w:t>
      </w:r>
      <w:r>
        <w:rPr>
          <w:rFonts w:hint="eastAsia" w:ascii="宋体" w:hAnsi="宋体" w:eastAsia="宋体" w:cs="楷体"/>
          <w:sz w:val="24"/>
          <w:szCs w:val="24"/>
          <w:u w:val="single"/>
        </w:rPr>
        <w:t xml:space="preserve">肉丝肉片机</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94、</w:t>
      </w:r>
      <w:r>
        <w:rPr>
          <w:rFonts w:hint="eastAsia" w:ascii="宋体" w:hAnsi="宋体" w:eastAsia="宋体" w:cs="楷体"/>
          <w:sz w:val="24"/>
          <w:szCs w:val="24"/>
          <w:u w:val="single"/>
        </w:rPr>
        <w:t xml:space="preserve">绞切肉机</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95、</w:t>
      </w:r>
      <w:r>
        <w:rPr>
          <w:rFonts w:hint="eastAsia" w:ascii="宋体" w:hAnsi="宋体" w:eastAsia="宋体" w:cs="楷体"/>
          <w:sz w:val="24"/>
          <w:szCs w:val="24"/>
          <w:u w:val="single"/>
        </w:rPr>
        <w:t xml:space="preserve">多功能切菜机</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96、</w:t>
      </w:r>
      <w:r>
        <w:rPr>
          <w:rFonts w:hint="eastAsia" w:ascii="宋体" w:hAnsi="宋体" w:eastAsia="宋体" w:cs="楷体"/>
          <w:sz w:val="24"/>
          <w:szCs w:val="24"/>
          <w:u w:val="single"/>
        </w:rPr>
        <w:t xml:space="preserve">辊式馒头机</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97、</w:t>
      </w:r>
      <w:r>
        <w:rPr>
          <w:rFonts w:hint="eastAsia" w:ascii="宋体" w:hAnsi="宋体" w:eastAsia="宋体" w:cs="楷体"/>
          <w:sz w:val="24"/>
          <w:szCs w:val="24"/>
          <w:u w:val="single"/>
        </w:rPr>
        <w:t xml:space="preserve">全自动包子机</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98、</w:t>
      </w:r>
      <w:r>
        <w:rPr>
          <w:rFonts w:hint="eastAsia" w:ascii="宋体" w:hAnsi="宋体" w:eastAsia="宋体" w:cs="楷体"/>
          <w:sz w:val="24"/>
          <w:szCs w:val="24"/>
          <w:u w:val="single"/>
        </w:rPr>
        <w:t xml:space="preserve">毛刷去皮机</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99、</w:t>
      </w:r>
      <w:r>
        <w:rPr>
          <w:rFonts w:hint="eastAsia" w:ascii="宋体" w:hAnsi="宋体" w:eastAsia="宋体" w:cs="楷体"/>
          <w:sz w:val="24"/>
          <w:szCs w:val="24"/>
          <w:u w:val="single"/>
        </w:rPr>
        <w:t xml:space="preserve">软水机</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100、</w:t>
      </w:r>
      <w:r>
        <w:rPr>
          <w:rFonts w:hint="eastAsia" w:ascii="宋体" w:hAnsi="宋体" w:eastAsia="宋体" w:cs="楷体"/>
          <w:sz w:val="24"/>
          <w:szCs w:val="24"/>
          <w:u w:val="single"/>
        </w:rPr>
        <w:t xml:space="preserve">点菜柜</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101、</w:t>
      </w:r>
      <w:r>
        <w:rPr>
          <w:rFonts w:hint="eastAsia" w:ascii="宋体" w:hAnsi="宋体" w:eastAsia="宋体" w:cs="楷体"/>
          <w:sz w:val="24"/>
          <w:szCs w:val="24"/>
          <w:u w:val="single"/>
        </w:rPr>
        <w:t xml:space="preserve">电饼铛</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102、</w:t>
      </w:r>
      <w:r>
        <w:rPr>
          <w:rFonts w:hint="eastAsia" w:ascii="宋体" w:hAnsi="宋体" w:eastAsia="宋体" w:cs="楷体"/>
          <w:sz w:val="24"/>
          <w:szCs w:val="24"/>
          <w:u w:val="single"/>
        </w:rPr>
        <w:t xml:space="preserve">单通移门碗柜</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103、</w:t>
      </w:r>
      <w:r>
        <w:rPr>
          <w:rFonts w:hint="eastAsia" w:ascii="宋体" w:hAnsi="宋体" w:eastAsia="宋体" w:cs="楷体"/>
          <w:sz w:val="24"/>
          <w:szCs w:val="24"/>
          <w:u w:val="single"/>
        </w:rPr>
        <w:t xml:space="preserve">单头矮汤炉</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104、</w:t>
      </w:r>
      <w:r>
        <w:rPr>
          <w:rFonts w:hint="eastAsia" w:ascii="宋体" w:hAnsi="宋体" w:eastAsia="宋体" w:cs="楷体"/>
          <w:sz w:val="24"/>
          <w:szCs w:val="24"/>
          <w:u w:val="single"/>
        </w:rPr>
        <w:t xml:space="preserve">单头锅贴炉</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ind w:firstLine="480"/>
        <w:spacing w:line="440" w:lineRule="exact"/>
        <w:rPr>
          <w:rFonts w:hint="eastAsia" w:ascii="宋体" w:hAnsi="宋体" w:eastAsia="宋体" w:cs="楷体"/>
          <w:sz w:val="24"/>
          <w:szCs w:val="24"/>
          <w:u w:val="single"/>
        </w:rPr>
      </w:pPr>
      <w:r>
        <w:rPr>
          <w:rFonts w:hint="eastAsia" w:ascii="宋体" w:hAnsi="宋体" w:eastAsia="宋体" w:cs="楷体"/>
          <w:sz w:val="24"/>
          <w:szCs w:val="24"/>
        </w:rPr>
        <w:t xml:space="preserve">105、</w:t>
      </w:r>
      <w:r>
        <w:rPr>
          <w:rFonts w:hint="eastAsia" w:ascii="宋体" w:hAnsi="宋体" w:eastAsia="宋体" w:cs="楷体"/>
          <w:sz w:val="24"/>
          <w:szCs w:val="24"/>
          <w:u w:val="single"/>
        </w:rPr>
        <w:t xml:space="preserve">定制12格保温台（蒸汽式)</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106、</w:t>
      </w:r>
      <w:r>
        <w:rPr>
          <w:rFonts w:hint="eastAsia" w:ascii="宋体" w:hAnsi="宋体" w:eastAsia="宋体" w:cs="楷体"/>
          <w:sz w:val="24"/>
          <w:szCs w:val="24"/>
          <w:u w:val="single"/>
        </w:rPr>
        <w:t xml:space="preserve">定制移动周转车</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107、</w:t>
      </w:r>
      <w:r>
        <w:rPr>
          <w:rFonts w:hint="eastAsia" w:ascii="宋体" w:hAnsi="宋体" w:eastAsia="宋体" w:cs="楷体"/>
          <w:sz w:val="24"/>
          <w:szCs w:val="24"/>
          <w:u w:val="single"/>
        </w:rPr>
        <w:t xml:space="preserve">五格保温台</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108、</w:t>
      </w:r>
      <w:r>
        <w:rPr>
          <w:rFonts w:hint="eastAsia" w:ascii="宋体" w:hAnsi="宋体" w:eastAsia="宋体" w:cs="楷体"/>
          <w:sz w:val="24"/>
          <w:szCs w:val="24"/>
          <w:u w:val="single"/>
        </w:rPr>
        <w:t xml:space="preserve">燃气可倾式夹层锅</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109、</w:t>
      </w:r>
      <w:r>
        <w:rPr>
          <w:rFonts w:hint="eastAsia" w:ascii="宋体" w:hAnsi="宋体" w:eastAsia="宋体" w:cs="楷体"/>
          <w:sz w:val="24"/>
          <w:szCs w:val="24"/>
          <w:u w:val="single"/>
        </w:rPr>
        <w:t xml:space="preserve">燃气双缸双筛炸炉</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110、</w:t>
      </w:r>
      <w:r>
        <w:rPr>
          <w:rFonts w:hint="eastAsia" w:ascii="宋体" w:hAnsi="宋体" w:eastAsia="宋体" w:cs="楷体"/>
          <w:sz w:val="24"/>
          <w:szCs w:val="24"/>
          <w:u w:val="single"/>
        </w:rPr>
        <w:t xml:space="preserve">燃气煮面桶</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111、</w:t>
      </w:r>
      <w:r>
        <w:rPr>
          <w:rFonts w:hint="eastAsia" w:ascii="宋体" w:hAnsi="宋体" w:eastAsia="宋体" w:cs="楷体"/>
          <w:sz w:val="24"/>
          <w:szCs w:val="24"/>
          <w:u w:val="single"/>
        </w:rPr>
        <w:t xml:space="preserve">立式电炸炉</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112、</w:t>
      </w:r>
      <w:r>
        <w:rPr>
          <w:rFonts w:hint="eastAsia" w:ascii="宋体" w:hAnsi="宋体" w:eastAsia="宋体" w:cs="楷体"/>
          <w:sz w:val="24"/>
          <w:szCs w:val="24"/>
          <w:u w:val="single"/>
        </w:rPr>
        <w:t xml:space="preserve">六头煲仔炉</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113、</w:t>
      </w:r>
      <w:r>
        <w:rPr>
          <w:rFonts w:hint="eastAsia" w:ascii="宋体" w:hAnsi="宋体" w:eastAsia="宋体" w:cs="楷体"/>
          <w:sz w:val="24"/>
          <w:szCs w:val="24"/>
          <w:u w:val="single"/>
        </w:rPr>
        <w:t xml:space="preserve">双头矮汤炉</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114、</w:t>
      </w:r>
      <w:r>
        <w:rPr>
          <w:rFonts w:hint="eastAsia" w:ascii="宋体" w:hAnsi="宋体" w:eastAsia="宋体" w:cs="楷体"/>
          <w:sz w:val="24"/>
          <w:szCs w:val="24"/>
          <w:u w:val="single"/>
        </w:rPr>
        <w:t xml:space="preserve">八头煲仔炉1</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115、</w:t>
      </w:r>
      <w:r>
        <w:rPr>
          <w:rFonts w:hint="eastAsia" w:ascii="宋体" w:hAnsi="宋体" w:eastAsia="宋体" w:cs="楷体"/>
          <w:sz w:val="24"/>
          <w:szCs w:val="24"/>
          <w:u w:val="single"/>
        </w:rPr>
        <w:t xml:space="preserve">八头煲仔炉2</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116、</w:t>
      </w:r>
      <w:r>
        <w:rPr>
          <w:rFonts w:hint="eastAsia" w:ascii="宋体" w:hAnsi="宋体" w:eastAsia="宋体" w:cs="楷体"/>
          <w:sz w:val="24"/>
          <w:szCs w:val="24"/>
          <w:u w:val="single"/>
        </w:rPr>
        <w:t xml:space="preserve">四头煲仔炉</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117、</w:t>
      </w:r>
      <w:r>
        <w:rPr>
          <w:rFonts w:hint="eastAsia" w:ascii="宋体" w:hAnsi="宋体" w:eastAsia="宋体" w:cs="楷体"/>
          <w:sz w:val="24"/>
          <w:szCs w:val="24"/>
          <w:u w:val="single"/>
        </w:rPr>
        <w:t xml:space="preserve">燃气平扒炉连锔炉</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118、</w:t>
      </w:r>
      <w:r>
        <w:rPr>
          <w:rFonts w:hint="eastAsia" w:ascii="宋体" w:hAnsi="宋体" w:eastAsia="宋体" w:cs="楷体"/>
          <w:sz w:val="24"/>
          <w:szCs w:val="24"/>
          <w:u w:val="single"/>
        </w:rPr>
        <w:t xml:space="preserve">三层六盘钢烤箱</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119、</w:t>
      </w:r>
      <w:r>
        <w:rPr>
          <w:rFonts w:hint="eastAsia" w:ascii="宋体" w:hAnsi="宋体" w:eastAsia="宋体" w:cs="楷体"/>
          <w:sz w:val="24"/>
          <w:szCs w:val="24"/>
          <w:u w:val="single"/>
        </w:rPr>
        <w:t xml:space="preserve">烤箱座台架</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120、</w:t>
      </w:r>
      <w:r>
        <w:rPr>
          <w:rFonts w:hint="eastAsia" w:ascii="宋体" w:hAnsi="宋体" w:eastAsia="宋体" w:cs="楷体"/>
          <w:sz w:val="24"/>
          <w:szCs w:val="24"/>
          <w:u w:val="single"/>
        </w:rPr>
        <w:t xml:space="preserve">双门发酵箱</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121、</w:t>
      </w:r>
      <w:r>
        <w:rPr>
          <w:rFonts w:hint="eastAsia" w:ascii="宋体" w:hAnsi="宋体" w:eastAsia="宋体" w:cs="楷体"/>
          <w:sz w:val="24"/>
          <w:szCs w:val="24"/>
          <w:u w:val="single"/>
        </w:rPr>
        <w:t xml:space="preserve">炉拼台1</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122、</w:t>
      </w:r>
      <w:r>
        <w:rPr>
          <w:rFonts w:hint="eastAsia" w:ascii="宋体" w:hAnsi="宋体" w:eastAsia="宋体" w:cs="楷体"/>
          <w:sz w:val="24"/>
          <w:szCs w:val="24"/>
          <w:u w:val="single"/>
        </w:rPr>
        <w:t xml:space="preserve">炉拼台2</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123、</w:t>
      </w:r>
      <w:r>
        <w:rPr>
          <w:rFonts w:hint="eastAsia" w:ascii="宋体" w:hAnsi="宋体" w:eastAsia="宋体" w:cs="楷体"/>
          <w:sz w:val="24"/>
          <w:szCs w:val="24"/>
          <w:u w:val="single"/>
        </w:rPr>
        <w:t xml:space="preserve">炉拼台3</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124、</w:t>
      </w:r>
      <w:r>
        <w:rPr>
          <w:rFonts w:hint="eastAsia" w:ascii="宋体" w:hAnsi="宋体" w:eastAsia="宋体" w:cs="楷体"/>
          <w:sz w:val="24"/>
          <w:szCs w:val="24"/>
          <w:u w:val="single"/>
        </w:rPr>
        <w:t xml:space="preserve">炉拼台4</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125、</w:t>
      </w:r>
      <w:r>
        <w:rPr>
          <w:rFonts w:hint="eastAsia" w:ascii="宋体" w:hAnsi="宋体" w:eastAsia="宋体" w:cs="楷体"/>
          <w:sz w:val="24"/>
          <w:szCs w:val="24"/>
          <w:u w:val="single"/>
        </w:rPr>
        <w:t xml:space="preserve">暖饭暖汤车</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126、</w:t>
      </w:r>
      <w:r>
        <w:rPr>
          <w:rFonts w:hint="eastAsia" w:ascii="宋体" w:hAnsi="宋体" w:eastAsia="宋体" w:cs="楷体"/>
          <w:sz w:val="24"/>
          <w:szCs w:val="24"/>
          <w:u w:val="single"/>
        </w:rPr>
        <w:t xml:space="preserve">立式双玻璃门展示柜</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127、</w:t>
      </w:r>
      <w:r>
        <w:rPr>
          <w:rFonts w:hint="eastAsia" w:ascii="宋体" w:hAnsi="宋体" w:eastAsia="宋体" w:cs="楷体"/>
          <w:sz w:val="24"/>
          <w:szCs w:val="24"/>
          <w:u w:val="single"/>
        </w:rPr>
        <w:t xml:space="preserve">四门双机双温高身雪柜</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128、</w:t>
      </w:r>
      <w:r>
        <w:rPr>
          <w:rFonts w:hint="eastAsia" w:ascii="宋体" w:hAnsi="宋体" w:eastAsia="宋体" w:cs="楷体"/>
          <w:sz w:val="24"/>
          <w:szCs w:val="24"/>
          <w:u w:val="single"/>
        </w:rPr>
        <w:t xml:space="preserve">双温六门高身柜</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ind w:firstLine="480"/>
        <w:spacing w:line="440" w:lineRule="exact"/>
        <w:rPr>
          <w:rFonts w:hint="eastAsia" w:ascii="宋体" w:hAnsi="宋体" w:eastAsia="宋体" w:cs="楷体"/>
          <w:sz w:val="24"/>
          <w:szCs w:val="24"/>
          <w:u w:val="single"/>
        </w:rPr>
      </w:pPr>
      <w:r>
        <w:rPr>
          <w:rFonts w:hint="eastAsia" w:ascii="宋体" w:hAnsi="宋体" w:eastAsia="宋体" w:cs="楷体"/>
          <w:sz w:val="24"/>
          <w:szCs w:val="24"/>
        </w:rPr>
        <w:t xml:space="preserve">129、</w:t>
      </w:r>
      <w:r>
        <w:rPr>
          <w:rFonts w:hint="eastAsia" w:ascii="宋体" w:hAnsi="宋体" w:eastAsia="宋体" w:cs="楷体"/>
          <w:sz w:val="24"/>
          <w:szCs w:val="24"/>
          <w:u w:val="single"/>
        </w:rPr>
        <w:t xml:space="preserve">长龙式洗碗机（带烘干)</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130、</w:t>
      </w:r>
      <w:r>
        <w:rPr>
          <w:rFonts w:hint="eastAsia" w:ascii="宋体" w:hAnsi="宋体" w:eastAsia="宋体" w:cs="楷体"/>
          <w:sz w:val="24"/>
          <w:szCs w:val="24"/>
          <w:u w:val="single"/>
        </w:rPr>
        <w:t xml:space="preserve">小件投掷柜1</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131、</w:t>
      </w:r>
      <w:r>
        <w:rPr>
          <w:rFonts w:hint="eastAsia" w:ascii="宋体" w:hAnsi="宋体" w:eastAsia="宋体" w:cs="楷体"/>
          <w:sz w:val="24"/>
          <w:szCs w:val="24"/>
          <w:u w:val="single"/>
        </w:rPr>
        <w:t xml:space="preserve">小件投掷柜2</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132、</w:t>
      </w:r>
      <w:r>
        <w:rPr>
          <w:rFonts w:hint="eastAsia" w:ascii="宋体" w:hAnsi="宋体" w:eastAsia="宋体" w:cs="楷体"/>
          <w:sz w:val="24"/>
          <w:szCs w:val="24"/>
          <w:u w:val="single"/>
        </w:rPr>
        <w:t xml:space="preserve">抽气罩</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133、</w:t>
      </w:r>
      <w:r>
        <w:rPr>
          <w:rFonts w:hint="eastAsia" w:ascii="宋体" w:hAnsi="宋体" w:eastAsia="宋体" w:cs="楷体"/>
          <w:sz w:val="24"/>
          <w:szCs w:val="24"/>
          <w:u w:val="single"/>
        </w:rPr>
        <w:t xml:space="preserve">牛角抽气罩</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134、</w:t>
      </w:r>
      <w:r>
        <w:rPr>
          <w:rFonts w:hint="eastAsia" w:ascii="宋体" w:hAnsi="宋体" w:eastAsia="宋体" w:cs="楷体"/>
          <w:sz w:val="24"/>
          <w:szCs w:val="24"/>
          <w:u w:val="single"/>
        </w:rPr>
        <w:t xml:space="preserve">集气罩</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135、</w:t>
      </w:r>
      <w:r>
        <w:rPr>
          <w:rFonts w:hint="eastAsia" w:ascii="宋体" w:hAnsi="宋体" w:eastAsia="宋体" w:cs="楷体"/>
          <w:sz w:val="24"/>
          <w:szCs w:val="24"/>
          <w:u w:val="single"/>
        </w:rPr>
        <w:t xml:space="preserve">油网烟罩1</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136、</w:t>
      </w:r>
      <w:r>
        <w:rPr>
          <w:rFonts w:hint="eastAsia" w:ascii="宋体" w:hAnsi="宋体" w:eastAsia="宋体" w:cs="楷体"/>
          <w:sz w:val="24"/>
          <w:szCs w:val="24"/>
          <w:u w:val="single"/>
        </w:rPr>
        <w:t xml:space="preserve">油网烟罩</w:t>
      </w:r>
      <w:r>
        <w:rPr>
          <w:rFonts w:ascii="宋体" w:hAnsi="宋体" w:eastAsia="宋体" w:cs="楷体"/>
          <w:sz w:val="24"/>
          <w:szCs w:val="24"/>
          <w:u w:val="single"/>
        </w:rPr>
        <w:t xml:space="preserve">2</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137、</w:t>
      </w:r>
      <w:r>
        <w:rPr>
          <w:rFonts w:hint="eastAsia" w:ascii="宋体" w:hAnsi="宋体" w:eastAsia="宋体" w:cs="楷体"/>
          <w:sz w:val="24"/>
          <w:szCs w:val="24"/>
          <w:u w:val="single"/>
        </w:rPr>
        <w:t xml:space="preserve">油网烟罩连弥散新风1</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138、</w:t>
      </w:r>
      <w:r>
        <w:rPr>
          <w:rFonts w:hint="eastAsia" w:ascii="宋体" w:hAnsi="宋体" w:eastAsia="宋体" w:cs="楷体"/>
          <w:sz w:val="24"/>
          <w:szCs w:val="24"/>
          <w:u w:val="single"/>
        </w:rPr>
        <w:t xml:space="preserve">油网烟罩连弥散新风2</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139、</w:t>
      </w:r>
      <w:r>
        <w:rPr>
          <w:rFonts w:hint="eastAsia" w:ascii="宋体" w:hAnsi="宋体" w:eastAsia="宋体" w:cs="楷体"/>
          <w:sz w:val="24"/>
          <w:szCs w:val="24"/>
          <w:u w:val="single"/>
        </w:rPr>
        <w:t xml:space="preserve">油网烟罩连弥散新风3</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ind w:firstLine="480"/>
        <w:spacing w:line="440" w:lineRule="exact"/>
        <w:rPr>
          <w:rFonts w:hint="eastAsia" w:ascii="宋体" w:hAnsi="宋体" w:eastAsia="宋体" w:cs="楷体"/>
          <w:sz w:val="24"/>
          <w:szCs w:val="24"/>
          <w:u w:val="single"/>
        </w:rPr>
      </w:pPr>
      <w:r>
        <w:rPr>
          <w:rFonts w:hint="eastAsia" w:ascii="宋体" w:hAnsi="宋体" w:eastAsia="宋体" w:cs="楷体"/>
          <w:sz w:val="24"/>
          <w:szCs w:val="24"/>
        </w:rPr>
        <w:t xml:space="preserve">140、</w:t>
      </w:r>
      <w:r>
        <w:rPr>
          <w:rFonts w:hint="eastAsia" w:ascii="宋体" w:hAnsi="宋体" w:eastAsia="宋体" w:cs="楷体"/>
          <w:sz w:val="24"/>
          <w:szCs w:val="24"/>
          <w:u w:val="single"/>
        </w:rPr>
        <w:t xml:space="preserve">圆带式餐盘传送机1（含转角）</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ind w:firstLine="480"/>
        <w:spacing w:line="440" w:lineRule="exact"/>
        <w:rPr>
          <w:rFonts w:hint="eastAsia" w:ascii="宋体" w:hAnsi="宋体" w:eastAsia="宋体" w:cs="楷体"/>
          <w:sz w:val="24"/>
          <w:szCs w:val="24"/>
          <w:u w:val="single"/>
        </w:rPr>
      </w:pPr>
      <w:r>
        <w:rPr>
          <w:rFonts w:hint="eastAsia" w:ascii="宋体" w:hAnsi="宋体" w:eastAsia="宋体" w:cs="楷体"/>
          <w:sz w:val="24"/>
          <w:szCs w:val="24"/>
        </w:rPr>
        <w:t xml:space="preserve">141、</w:t>
      </w:r>
      <w:r>
        <w:rPr>
          <w:rFonts w:hint="eastAsia" w:ascii="宋体" w:hAnsi="宋体" w:eastAsia="宋体" w:cs="楷体"/>
          <w:sz w:val="24"/>
          <w:szCs w:val="24"/>
          <w:u w:val="single"/>
        </w:rPr>
        <w:t xml:space="preserve">圆带式餐盘传送机2（含转角）</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142、</w:t>
      </w:r>
      <w:r>
        <w:rPr>
          <w:rFonts w:hint="eastAsia" w:ascii="宋体" w:hAnsi="宋体" w:eastAsia="宋体" w:cs="楷体"/>
          <w:sz w:val="24"/>
          <w:szCs w:val="24"/>
          <w:u w:val="single"/>
        </w:rPr>
        <w:t xml:space="preserve">蒸柜推车</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143、</w:t>
      </w:r>
      <w:r>
        <w:rPr>
          <w:rFonts w:hint="eastAsia" w:ascii="宋体" w:hAnsi="宋体" w:eastAsia="宋体" w:cs="楷体"/>
          <w:sz w:val="24"/>
          <w:szCs w:val="24"/>
          <w:u w:val="single"/>
        </w:rPr>
        <w:t xml:space="preserve">拖把池1</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144、</w:t>
      </w:r>
      <w:r>
        <w:rPr>
          <w:rFonts w:hint="eastAsia" w:ascii="宋体" w:hAnsi="宋体" w:eastAsia="宋体" w:cs="楷体"/>
          <w:sz w:val="24"/>
          <w:szCs w:val="24"/>
          <w:u w:val="single"/>
        </w:rPr>
        <w:t xml:space="preserve">拖把池2</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145、</w:t>
      </w:r>
      <w:r>
        <w:rPr>
          <w:rFonts w:hint="eastAsia" w:ascii="宋体" w:hAnsi="宋体" w:eastAsia="宋体" w:cs="楷体"/>
          <w:sz w:val="24"/>
          <w:szCs w:val="24"/>
          <w:u w:val="single"/>
        </w:rPr>
        <w:t xml:space="preserve">拖把架1</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146、</w:t>
      </w:r>
      <w:r>
        <w:rPr>
          <w:rFonts w:hint="eastAsia" w:ascii="宋体" w:hAnsi="宋体" w:eastAsia="宋体" w:cs="楷体"/>
          <w:sz w:val="24"/>
          <w:szCs w:val="24"/>
          <w:u w:val="single"/>
        </w:rPr>
        <w:t xml:space="preserve">拖把架2</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147、</w:t>
      </w:r>
      <w:r>
        <w:rPr>
          <w:rFonts w:hint="eastAsia" w:ascii="宋体" w:hAnsi="宋体" w:eastAsia="宋体" w:cs="楷体"/>
          <w:sz w:val="24"/>
          <w:szCs w:val="24"/>
          <w:u w:val="single"/>
        </w:rPr>
        <w:t xml:space="preserve">地隔架</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148、</w:t>
      </w:r>
      <w:r>
        <w:rPr>
          <w:rFonts w:hint="eastAsia" w:ascii="宋体" w:hAnsi="宋体" w:eastAsia="宋体" w:cs="楷体"/>
          <w:sz w:val="24"/>
          <w:szCs w:val="24"/>
          <w:u w:val="single"/>
        </w:rPr>
        <w:t xml:space="preserve">紫外线消毒灯</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149、</w:t>
      </w:r>
      <w:r>
        <w:rPr>
          <w:rFonts w:hint="eastAsia" w:ascii="宋体" w:hAnsi="宋体" w:eastAsia="宋体" w:cs="楷体"/>
          <w:sz w:val="24"/>
          <w:szCs w:val="24"/>
          <w:u w:val="single"/>
        </w:rPr>
        <w:t xml:space="preserve">灭蝇灯</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150、</w:t>
      </w:r>
      <w:r>
        <w:rPr>
          <w:rFonts w:hint="eastAsia" w:ascii="宋体" w:hAnsi="宋体" w:eastAsia="宋体" w:cs="楷体"/>
          <w:sz w:val="24"/>
          <w:szCs w:val="24"/>
          <w:u w:val="single"/>
        </w:rPr>
        <w:t xml:space="preserve">传送带封板1</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151、</w:t>
      </w:r>
      <w:r>
        <w:rPr>
          <w:rFonts w:hint="eastAsia" w:ascii="宋体" w:hAnsi="宋体" w:eastAsia="宋体" w:cs="楷体"/>
          <w:sz w:val="24"/>
          <w:szCs w:val="24"/>
          <w:u w:val="single"/>
        </w:rPr>
        <w:t xml:space="preserve">传送带封板</w:t>
      </w:r>
      <w:r>
        <w:rPr>
          <w:rFonts w:ascii="宋体" w:hAnsi="宋体" w:eastAsia="宋体" w:cs="楷体"/>
          <w:sz w:val="24"/>
          <w:szCs w:val="24"/>
          <w:u w:val="single"/>
        </w:rPr>
        <w:t xml:space="preserve">2</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152、</w:t>
      </w:r>
      <w:r>
        <w:rPr>
          <w:rFonts w:hint="eastAsia" w:ascii="宋体" w:hAnsi="宋体" w:eastAsia="宋体" w:cs="楷体"/>
          <w:sz w:val="24"/>
          <w:szCs w:val="24"/>
          <w:u w:val="single"/>
        </w:rPr>
        <w:t xml:space="preserve">不锈钢封墙钢1</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153、</w:t>
      </w:r>
      <w:r>
        <w:rPr>
          <w:rFonts w:hint="eastAsia" w:ascii="宋体" w:hAnsi="宋体" w:eastAsia="宋体" w:cs="楷体"/>
          <w:sz w:val="24"/>
          <w:szCs w:val="24"/>
          <w:u w:val="single"/>
        </w:rPr>
        <w:t xml:space="preserve">不锈钢封墙钢</w:t>
      </w:r>
      <w:r>
        <w:rPr>
          <w:rFonts w:ascii="宋体" w:hAnsi="宋体" w:eastAsia="宋体" w:cs="楷体"/>
          <w:sz w:val="24"/>
          <w:szCs w:val="24"/>
          <w:u w:val="single"/>
        </w:rPr>
        <w:t xml:space="preserve">2</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154、</w:t>
      </w:r>
      <w:r>
        <w:rPr>
          <w:rFonts w:hint="eastAsia" w:ascii="宋体" w:hAnsi="宋体" w:eastAsia="宋体" w:cs="楷体"/>
          <w:sz w:val="24"/>
          <w:szCs w:val="24"/>
          <w:u w:val="single"/>
        </w:rPr>
        <w:t xml:space="preserve">不锈钢封墙钢</w:t>
      </w:r>
      <w:r>
        <w:rPr>
          <w:rFonts w:ascii="宋体" w:hAnsi="宋体" w:eastAsia="宋体" w:cs="楷体"/>
          <w:sz w:val="24"/>
          <w:szCs w:val="24"/>
          <w:u w:val="single"/>
        </w:rPr>
        <w:t xml:space="preserve">3</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155、</w:t>
      </w:r>
      <w:r>
        <w:rPr>
          <w:rFonts w:hint="eastAsia" w:ascii="宋体" w:hAnsi="宋体" w:eastAsia="宋体" w:cs="楷体"/>
          <w:sz w:val="24"/>
          <w:szCs w:val="24"/>
          <w:u w:val="single"/>
        </w:rPr>
        <w:t xml:space="preserve">不锈钢封墙钢</w:t>
      </w:r>
      <w:r>
        <w:rPr>
          <w:rFonts w:ascii="宋体" w:hAnsi="宋体" w:eastAsia="宋体" w:cs="楷体"/>
          <w:sz w:val="24"/>
          <w:szCs w:val="24"/>
          <w:u w:val="single"/>
        </w:rPr>
        <w:t xml:space="preserve">4</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156、</w:t>
      </w:r>
      <w:r>
        <w:rPr>
          <w:rFonts w:hint="eastAsia" w:ascii="宋体" w:hAnsi="宋体" w:eastAsia="宋体" w:cs="楷体"/>
          <w:sz w:val="24"/>
          <w:szCs w:val="24"/>
          <w:u w:val="single"/>
        </w:rPr>
        <w:t xml:space="preserve">不锈钢封墙钢</w:t>
      </w:r>
      <w:r>
        <w:rPr>
          <w:rFonts w:ascii="宋体" w:hAnsi="宋体" w:eastAsia="宋体" w:cs="楷体"/>
          <w:sz w:val="24"/>
          <w:szCs w:val="24"/>
          <w:u w:val="single"/>
        </w:rPr>
        <w:t xml:space="preserve">5</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46"/>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以上企业，不属于大企业的分支机构，不存在控股股东为大型企业的情形，也不存在与大型企业的负责人为同一人的情形。</w:t>
      </w:r>
      <w:r/>
    </w:p>
    <w:p>
      <w:pPr>
        <w:ind w:firstLine="480"/>
        <w:spacing w:line="440" w:lineRule="exact"/>
        <w:rPr>
          <w:rFonts w:hint="eastAsia" w:cs="楷体"/>
        </w:rPr>
      </w:pPr>
      <w:r>
        <w:rPr>
          <w:rFonts w:hint="eastAsia" w:cs="楷体"/>
        </w:rPr>
        <w:t xml:space="preserve">本企业对上述声明内容的真实性负责。如有虚假，将依法承担相应责任。</w:t>
      </w:r>
      <w:r/>
    </w:p>
    <w:p>
      <w:pPr>
        <w:ind w:firstLine="480"/>
        <w:spacing w:line="440" w:lineRule="exact"/>
        <w:rPr>
          <w:rFonts w:hint="eastAsia" w:cs="楷体"/>
        </w:rPr>
      </w:pPr>
      <w:r>
        <w:rPr>
          <w:rFonts w:hint="eastAsia" w:cs="楷体"/>
        </w:rPr>
      </w:r>
      <w:r/>
    </w:p>
    <w:p>
      <w:pPr>
        <w:ind w:firstLine="3840"/>
        <w:spacing w:line="440" w:lineRule="exact"/>
        <w:rPr>
          <w:rFonts w:hint="eastAsia" w:cs="楷体"/>
        </w:rPr>
      </w:pPr>
      <w:r>
        <w:rPr>
          <w:rFonts w:hint="eastAsia"/>
          <w:bCs/>
        </w:rPr>
        <w:t xml:space="preserve">投标单位名称：</w:t>
      </w:r>
      <w:r>
        <w:rPr>
          <w:rFonts w:hint="eastAsia" w:cs="楷体"/>
        </w:rPr>
        <w:t xml:space="preserve">（加盖CA电子公章） </w:t>
      </w:r>
      <w:r>
        <w:rPr>
          <w:rFonts w:hint="eastAsia"/>
          <w:bCs/>
        </w:rPr>
        <w:t xml:space="preserve"> </w:t>
      </w:r>
      <w:r/>
    </w:p>
    <w:p>
      <w:pPr>
        <w:ind w:firstLine="4800"/>
        <w:spacing w:line="440" w:lineRule="exact"/>
        <w:rPr>
          <w:rFonts w:hint="eastAsia" w:cs="楷体"/>
        </w:rPr>
      </w:pPr>
      <w:r>
        <w:rPr>
          <w:rFonts w:hint="eastAsia" w:cs="楷体"/>
        </w:rPr>
        <w:t xml:space="preserve">日期：  年   月   日</w:t>
      </w:r>
      <w:r/>
    </w:p>
    <w:p>
      <w:pPr>
        <w:pStyle w:val="927"/>
        <w:spacing w:line="440" w:lineRule="exact"/>
        <w:rPr>
          <w:rFonts w:hint="eastAsia" w:cs="楷体"/>
          <w:szCs w:val="20"/>
        </w:rPr>
      </w:pPr>
      <w:r>
        <w:rPr>
          <w:rFonts w:hint="eastAsia" w:cs="楷体"/>
        </w:rPr>
        <w:t xml:space="preserve">注：1、从业人员、营业收入和资产总额填报上一年度数据，无上一年度数据的新成立企业可不填报。</w:t>
      </w:r>
      <w:r/>
    </w:p>
    <w:p>
      <w:pPr>
        <w:pStyle w:val="1146"/>
        <w:ind w:firstLine="480"/>
        <w:rPr>
          <w:rFonts w:hint="eastAsia" w:ascii="宋体" w:hAnsi="宋体" w:eastAsia="宋体" w:cs="楷体"/>
          <w:sz w:val="24"/>
          <w:szCs w:val="24"/>
        </w:rPr>
      </w:pPr>
      <w:r>
        <w:rPr>
          <w:rFonts w:hint="eastAsia" w:ascii="宋体" w:hAnsi="宋体" w:eastAsia="宋体" w:cs="楷体"/>
          <w:sz w:val="24"/>
          <w:szCs w:val="24"/>
        </w:rPr>
        <w:t xml:space="preserve">2、中小企业划型标准规定参考《工信部联企业[2011]300号》</w:t>
      </w:r>
      <w:r/>
    </w:p>
    <w:p>
      <w:pPr>
        <w:pStyle w:val="907"/>
        <w:jc w:val="center"/>
        <w:rPr>
          <w:rFonts w:hint="eastAsia" w:ascii="宋体" w:hAnsi="宋体"/>
          <w:b/>
          <w:color w:val="auto"/>
          <w:sz w:val="32"/>
          <w:szCs w:val="32"/>
        </w:rPr>
      </w:pPr>
      <w:r>
        <w:rPr>
          <w:rFonts w:hint="eastAsia" w:ascii="宋体" w:hAnsi="宋体"/>
          <w:b/>
          <w:bCs/>
          <w:color w:val="auto"/>
          <w:sz w:val="32"/>
          <w:szCs w:val="32"/>
        </w:rPr>
        <w:t xml:space="preserve">五</w:t>
      </w:r>
      <w:r>
        <w:rPr>
          <w:rFonts w:hint="eastAsia" w:ascii="宋体" w:hAnsi="宋体"/>
          <w:b/>
          <w:bCs/>
          <w:color w:val="auto"/>
          <w:sz w:val="32"/>
          <w:szCs w:val="32"/>
        </w:rPr>
        <w:t xml:space="preserve">、</w:t>
      </w:r>
      <w:r>
        <w:rPr>
          <w:rFonts w:hint="eastAsia" w:ascii="宋体" w:hAnsi="宋体"/>
          <w:b/>
          <w:bCs/>
          <w:color w:val="auto"/>
          <w:sz w:val="32"/>
          <w:szCs w:val="32"/>
        </w:rPr>
        <w:t xml:space="preserve">残疾人福利性单位声明函</w:t>
      </w:r>
      <w:r>
        <w:rPr>
          <w:rFonts w:ascii="宋体" w:hAnsi="宋体"/>
          <w:b/>
          <w:bCs/>
          <w:color w:val="auto"/>
          <w:sz w:val="32"/>
          <w:szCs w:val="32"/>
        </w:rPr>
        <w:t xml:space="preserve">（实质性格式）</w:t>
      </w:r>
      <w:r/>
    </w:p>
    <w:p>
      <w:pPr>
        <w:ind w:firstLine="504"/>
        <w:spacing w:line="588" w:lineRule="exact"/>
        <w:rPr>
          <w:rFonts w:hint="eastAsia"/>
          <w:spacing w:val="6"/>
        </w:rPr>
      </w:pPr>
      <w:r>
        <w:rPr>
          <w:spacing w:val="6"/>
        </w:rPr>
        <w:t xml:space="preserve">本单位郑重声明，根据《财政部 民政部 中国残疾人联合会关于促进残疾人就业政府采购政策的通知》（财库</w:t>
      </w:r>
      <w:r>
        <w:t xml:space="preserve">〔2017〕 141</w:t>
      </w:r>
      <w:r>
        <w:rPr>
          <w:spacing w:val="6"/>
        </w:rPr>
        <w:t xml:space="preserve">号）的规定，本单位</w:t>
      </w:r>
      <w:r>
        <w:rPr>
          <w:b/>
        </w:rPr>
        <w:t xml:space="preserve">（请进行勾选）</w:t>
      </w:r>
      <w:r>
        <w:rPr>
          <w:spacing w:val="6"/>
        </w:rPr>
        <w:t xml:space="preserve">：</w:t>
      </w:r>
      <w:r/>
    </w:p>
    <w:p>
      <w:pPr>
        <w:ind w:firstLine="482"/>
        <w:spacing w:line="588" w:lineRule="exact"/>
        <w:rPr>
          <w:rFonts w:hint="eastAsia"/>
          <w:b/>
          <w:spacing w:val="6"/>
        </w:rPr>
      </w:pPr>
      <w:r>
        <w:rPr>
          <w:b/>
        </w:rPr>
        <w:t xml:space="preserve">□</w:t>
      </w:r>
      <w:r>
        <w:rPr>
          <w:b/>
          <w:spacing w:val="6"/>
        </w:rPr>
        <w:t xml:space="preserve">不属于符合条件的残疾人福利性单位。</w:t>
      </w:r>
      <w:r/>
    </w:p>
    <w:p>
      <w:pPr>
        <w:ind w:firstLine="482"/>
        <w:spacing w:line="588" w:lineRule="exact"/>
        <w:rPr>
          <w:rFonts w:hint="eastAsia"/>
          <w:spacing w:val="6"/>
        </w:rPr>
      </w:pPr>
      <w:r>
        <w:rPr>
          <w:b/>
        </w:rPr>
        <w:t xml:space="preserve">□</w:t>
      </w:r>
      <w:r>
        <w:rPr>
          <w:b/>
          <w:spacing w:val="6"/>
        </w:rPr>
        <w:t xml:space="preserve">属于符合条件的残疾人福利性单位，</w:t>
      </w:r>
      <w:r>
        <w:rPr>
          <w:spacing w:val="6"/>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rFonts w:hint="eastAsia"/>
          <w:spacing w:val="6"/>
        </w:rPr>
      </w:pPr>
      <w:r>
        <w:rPr>
          <w:b/>
          <w:spacing w:val="6"/>
        </w:rPr>
        <w:t xml:space="preserve">本单位对上述声明的真实性负责。如有虚假，将依法承担相应责任。</w:t>
      </w:r>
      <w:r/>
    </w:p>
    <w:p>
      <w:pPr>
        <w:ind w:firstLine="504"/>
        <w:spacing w:line="588" w:lineRule="exact"/>
        <w:rPr>
          <w:rFonts w:hint="eastAsia"/>
          <w:spacing w:val="6"/>
        </w:rPr>
      </w:pPr>
      <w:r>
        <w:rPr>
          <w:rFonts w:hint="eastAsia"/>
          <w:spacing w:val="6"/>
        </w:rPr>
      </w:r>
      <w:r/>
    </w:p>
    <w:p>
      <w:pPr>
        <w:ind w:firstLine="504"/>
        <w:spacing w:line="588" w:lineRule="exact"/>
        <w:rPr>
          <w:rFonts w:hint="eastAsia"/>
          <w:spacing w:val="6"/>
        </w:rPr>
      </w:pPr>
      <w:r>
        <w:rPr>
          <w:rFonts w:hint="eastAsia"/>
          <w:spacing w:val="6"/>
        </w:rPr>
      </w:r>
      <w:r/>
    </w:p>
    <w:p>
      <w:pPr>
        <w:ind w:right="1560" w:firstLine="504"/>
        <w:jc w:val="center"/>
        <w:spacing w:line="588" w:lineRule="exact"/>
        <w:tabs>
          <w:tab w:val="left" w:pos="4860" w:leader="none"/>
        </w:tabs>
        <w:rPr>
          <w:rFonts w:hint="eastAsia"/>
          <w:spacing w:val="6"/>
        </w:rPr>
      </w:pPr>
      <w:r>
        <w:rPr>
          <w:spacing w:val="6"/>
        </w:rPr>
        <w:t xml:space="preserve">              </w:t>
      </w:r>
      <w:r>
        <w:rPr>
          <w:spacing w:val="6"/>
        </w:rPr>
        <w:t xml:space="preserve">  </w:t>
      </w:r>
      <w:r>
        <w:rPr>
          <w:rFonts w:hint="eastAsia"/>
          <w:spacing w:val="6"/>
        </w:rPr>
        <w:t xml:space="preserve"> </w:t>
      </w:r>
      <w:r>
        <w:rPr>
          <w:rFonts w:hint="eastAsia"/>
          <w:bCs/>
        </w:rPr>
        <w:t xml:space="preserve">投标单位名称：</w:t>
      </w:r>
      <w:r>
        <w:rPr>
          <w:rFonts w:hint="eastAsia" w:cs="楷体"/>
        </w:rPr>
        <w:t xml:space="preserve">（加盖CA电子公章） </w:t>
      </w:r>
      <w:r>
        <w:rPr>
          <w:rFonts w:hint="eastAsia"/>
          <w:bCs/>
        </w:rPr>
        <w:t xml:space="preserve"> </w:t>
      </w:r>
      <w:r/>
    </w:p>
    <w:p>
      <w:pPr>
        <w:ind w:right="1560" w:firstLine="504"/>
        <w:jc w:val="center"/>
        <w:spacing w:line="588" w:lineRule="exact"/>
        <w:tabs>
          <w:tab w:val="left" w:pos="4860" w:leader="none"/>
        </w:tabs>
        <w:rPr>
          <w:rFonts w:hint="eastAsia"/>
          <w:spacing w:val="6"/>
        </w:rPr>
        <w:sectPr>
          <w:headerReference w:type="default" r:id="rId13"/>
          <w:footnotePr/>
          <w:endnotePr/>
          <w:type w:val="nextPage"/>
          <w:pgSz w:w="11906" w:h="16838" w:orient="portrait"/>
          <w:pgMar w:top="1440" w:right="1797" w:bottom="1440" w:left="1797" w:header="851" w:footer="992" w:gutter="0"/>
          <w:cols w:num="1" w:sep="0" w:space="720" w:equalWidth="1"/>
          <w:docGrid w:linePitch="360"/>
        </w:sectPr>
      </w:pPr>
      <w:r>
        <w:rPr>
          <w:rFonts w:hint="eastAsia"/>
          <w:spacing w:val="6"/>
        </w:rPr>
        <w:t xml:space="preserve"> </w:t>
      </w:r>
      <w:r>
        <w:rPr>
          <w:spacing w:val="6"/>
        </w:rPr>
        <w:t xml:space="preserve">         </w:t>
      </w:r>
      <w:r>
        <w:rPr>
          <w:spacing w:val="6"/>
        </w:rPr>
        <w:t xml:space="preserve">日  期</w:t>
      </w:r>
      <w:r>
        <w:rPr>
          <w:rFonts w:hint="eastAsia"/>
          <w:spacing w:val="6"/>
        </w:rPr>
        <w:t xml:space="preserve">:</w:t>
      </w:r>
      <w:r/>
    </w:p>
    <w:p>
      <w:pPr>
        <w:ind w:firstLine="2890"/>
        <w:spacing w:line="400" w:lineRule="exact"/>
        <w:rPr>
          <w:rFonts w:hint="eastAsia"/>
          <w:b/>
          <w:spacing w:val="20"/>
          <w:sz w:val="32"/>
          <w:szCs w:val="32"/>
        </w:rPr>
        <w:outlineLvl w:val="1"/>
      </w:pPr>
      <w:r/>
      <w:bookmarkStart w:id="511" w:name="_Toc373054875"/>
      <w:r/>
      <w:bookmarkStart w:id="512" w:name="_Toc425"/>
      <w:r/>
      <w:bookmarkStart w:id="513" w:name="_Toc29116"/>
      <w:r/>
      <w:bookmarkStart w:id="514" w:name="_Toc30417"/>
      <w:r/>
      <w:bookmarkStart w:id="515" w:name="_Toc152683419"/>
      <w:r/>
      <w:bookmarkStart w:id="516" w:name="_Toc152683579"/>
      <w:r/>
      <w:bookmarkStart w:id="517" w:name="_Toc197636591"/>
      <w:r/>
      <w:bookmarkStart w:id="518" w:name="_Toc197636643"/>
      <w:r/>
      <w:bookmarkEnd w:id="510"/>
      <w:r/>
      <w:bookmarkEnd w:id="511"/>
      <w:r/>
      <w:bookmarkEnd w:id="512"/>
      <w:r/>
      <w:bookmarkEnd w:id="513"/>
      <w:r/>
      <w:bookmarkEnd w:id="514"/>
      <w:r>
        <w:rPr>
          <w:rFonts w:hint="eastAsia"/>
          <w:b/>
          <w:spacing w:val="20"/>
          <w:sz w:val="32"/>
          <w:szCs w:val="32"/>
        </w:rPr>
        <w:t xml:space="preserve">六</w:t>
      </w:r>
      <w:r>
        <w:rPr>
          <w:rFonts w:hint="eastAsia"/>
          <w:b/>
          <w:spacing w:val="20"/>
          <w:sz w:val="32"/>
          <w:szCs w:val="32"/>
        </w:rPr>
        <w:t xml:space="preserve">、项目实施方案</w:t>
      </w:r>
      <w:bookmarkEnd w:id="515"/>
      <w:r/>
      <w:bookmarkEnd w:id="516"/>
      <w:r/>
      <w:bookmarkEnd w:id="517"/>
      <w:r/>
      <w:bookmarkEnd w:id="518"/>
      <w:r>
        <w:rPr>
          <w:rFonts w:hint="eastAsia"/>
          <w:b/>
          <w:spacing w:val="20"/>
          <w:sz w:val="32"/>
          <w:szCs w:val="32"/>
        </w:rPr>
        <w:t xml:space="preserve"> </w:t>
      </w:r>
      <w:r/>
    </w:p>
    <w:p>
      <w:pPr>
        <w:pStyle w:val="927"/>
        <w:rPr>
          <w:rFonts w:hint="eastAsia"/>
          <w:sz w:val="20"/>
          <w:szCs w:val="20"/>
        </w:rPr>
      </w:pPr>
      <w:r>
        <w:rPr>
          <w:rFonts w:hint="eastAsia"/>
          <w:sz w:val="20"/>
          <w:szCs w:val="20"/>
        </w:rPr>
      </w:r>
      <w:r/>
    </w:p>
    <w:p>
      <w:pPr>
        <w:ind w:firstLine="480"/>
        <w:spacing w:line="400" w:lineRule="exact"/>
        <w:rPr>
          <w:rFonts w:hint="eastAsia"/>
        </w:rPr>
      </w:pPr>
      <w:r>
        <w:rPr>
          <w:rFonts w:hint="eastAsia"/>
        </w:rPr>
        <w:t xml:space="preserve">采购文件中提出的需求是最基本的服务要求，各投标人须响应这些要求，并可以在此基础上，根据自身优势进一步优化。本方案可包括（但不限于）以下内容：</w:t>
      </w:r>
      <w:r/>
    </w:p>
    <w:p>
      <w:pPr>
        <w:numPr>
          <w:ilvl w:val="1"/>
          <w:numId w:val="9"/>
        </w:numPr>
        <w:spacing w:line="400" w:lineRule="exact"/>
        <w:tabs>
          <w:tab w:val="left" w:pos="1140" w:leader="none"/>
        </w:tabs>
        <w:rPr>
          <w:rFonts w:hint="eastAsia"/>
        </w:rPr>
      </w:pPr>
      <w:r>
        <w:rPr>
          <w:rFonts w:hint="eastAsia"/>
        </w:rPr>
        <w:t xml:space="preserve">详细实施方案</w:t>
      </w:r>
      <w:r/>
    </w:p>
    <w:p>
      <w:pPr>
        <w:numPr>
          <w:ilvl w:val="1"/>
          <w:numId w:val="9"/>
        </w:numPr>
        <w:spacing w:line="400" w:lineRule="exact"/>
        <w:tabs>
          <w:tab w:val="left" w:pos="1140" w:leader="none"/>
        </w:tabs>
        <w:rPr>
          <w:rFonts w:hint="eastAsia"/>
        </w:rPr>
      </w:pPr>
      <w:r>
        <w:rPr>
          <w:rFonts w:hint="eastAsia"/>
        </w:rPr>
        <w:t xml:space="preserve">投标人应就人员配备、技术保证、项目质量、服务期限等做出承诺</w:t>
      </w:r>
      <w:r/>
    </w:p>
    <w:p>
      <w:pPr>
        <w:numPr>
          <w:ilvl w:val="1"/>
          <w:numId w:val="9"/>
        </w:numPr>
        <w:spacing w:line="400" w:lineRule="exact"/>
        <w:tabs>
          <w:tab w:val="left" w:pos="1140" w:leader="none"/>
        </w:tabs>
        <w:rPr>
          <w:rFonts w:hint="eastAsia"/>
        </w:rPr>
      </w:pPr>
      <w:r>
        <w:rPr>
          <w:rFonts w:hint="eastAsia"/>
          <w:bCs/>
        </w:rPr>
        <w:t xml:space="preserve">对原始资料的调查与收集</w:t>
      </w:r>
      <w:r/>
    </w:p>
    <w:p>
      <w:pPr>
        <w:numPr>
          <w:ilvl w:val="1"/>
          <w:numId w:val="9"/>
        </w:numPr>
        <w:spacing w:line="400" w:lineRule="exact"/>
        <w:tabs>
          <w:tab w:val="left" w:pos="1140" w:leader="none"/>
        </w:tabs>
        <w:rPr>
          <w:rFonts w:hint="eastAsia"/>
        </w:rPr>
      </w:pPr>
      <w:r>
        <w:rPr>
          <w:rFonts w:hint="eastAsia"/>
        </w:rPr>
        <w:t xml:space="preserve">合理化建议（并提出相应可行的解决办法）</w:t>
      </w:r>
      <w:r/>
    </w:p>
    <w:p>
      <w:pPr>
        <w:numPr>
          <w:ilvl w:val="1"/>
          <w:numId w:val="9"/>
        </w:numPr>
        <w:spacing w:line="400" w:lineRule="exact"/>
        <w:tabs>
          <w:tab w:val="left" w:pos="1140" w:leader="none"/>
        </w:tabs>
        <w:rPr>
          <w:rFonts w:hint="eastAsia"/>
        </w:rPr>
      </w:pPr>
      <w:r>
        <w:rPr>
          <w:rFonts w:hint="eastAsia"/>
        </w:rPr>
        <w:t xml:space="preserve">需要招标人协助的事项</w:t>
      </w:r>
      <w:r/>
    </w:p>
    <w:p>
      <w:pPr>
        <w:numPr>
          <w:ilvl w:val="1"/>
          <w:numId w:val="9"/>
        </w:numPr>
        <w:spacing w:line="400" w:lineRule="exact"/>
        <w:tabs>
          <w:tab w:val="left" w:pos="1140" w:leader="none"/>
        </w:tabs>
        <w:rPr>
          <w:rFonts w:hint="eastAsia"/>
        </w:rPr>
      </w:pPr>
      <w:r>
        <w:rPr>
          <w:rFonts w:hint="eastAsia"/>
        </w:rPr>
        <w:t xml:space="preserve">投标人认为需要添加的内容</w:t>
      </w:r>
      <w:r/>
    </w:p>
    <w:p>
      <w:pPr>
        <w:ind w:firstLine="480"/>
        <w:spacing w:line="400" w:lineRule="exact"/>
        <w:rPr>
          <w:rFonts w:hint="eastAsia"/>
        </w:rPr>
      </w:pPr>
      <w:r>
        <w:rPr>
          <w:rFonts w:hint="eastAsia"/>
        </w:rPr>
      </w:r>
      <w:r/>
    </w:p>
    <w:p>
      <w:pPr>
        <w:pStyle w:val="907"/>
        <w:rPr>
          <w:rFonts w:hint="eastAsia" w:ascii="宋体" w:hAnsi="宋体"/>
          <w:color w:val="auto"/>
        </w:rPr>
      </w:pPr>
      <w:r>
        <w:rPr>
          <w:rFonts w:hint="eastAsia" w:ascii="宋体" w:hAnsi="宋体"/>
          <w:color w:val="auto"/>
        </w:rPr>
      </w:r>
      <w:r/>
    </w:p>
    <w:p>
      <w:pPr>
        <w:ind w:firstLine="4414"/>
        <w:spacing w:line="400" w:lineRule="exact"/>
        <w:rPr>
          <w:rFonts w:hint="eastAsia"/>
        </w:rPr>
      </w:pPr>
      <w:r>
        <w:rPr>
          <w:rFonts w:hint="eastAsia"/>
          <w:bCs/>
        </w:rPr>
        <w:t xml:space="preserve">投标单位名称：</w:t>
      </w:r>
      <w:r>
        <w:rPr>
          <w:rFonts w:hint="eastAsia" w:cs="楷体"/>
        </w:rPr>
        <w:t xml:space="preserve">（加盖CA电子公章） </w:t>
      </w:r>
      <w:r>
        <w:rPr>
          <w:rFonts w:hint="eastAsia"/>
          <w:bCs/>
        </w:rPr>
        <w:t xml:space="preserve"> </w:t>
      </w:r>
      <w:r>
        <w:rPr>
          <w:rFonts w:hint="eastAsia"/>
        </w:rPr>
        <w:t xml:space="preserve">  </w:t>
      </w:r>
      <w:r/>
    </w:p>
    <w:p>
      <w:pPr>
        <w:ind w:firstLine="480"/>
        <w:spacing w:line="400" w:lineRule="exact"/>
        <w:rPr>
          <w:rFonts w:hint="eastAsia"/>
        </w:rPr>
      </w:pPr>
      <w:r>
        <w:rPr>
          <w:rFonts w:hint="eastAsia"/>
        </w:rPr>
        <w:t xml:space="preserve">                </w:t>
      </w:r>
      <w:r>
        <w:rPr>
          <w:rFonts w:hint="eastAsia"/>
        </w:rPr>
        <w:t xml:space="preserve">            </w:t>
      </w:r>
      <w:r>
        <w:t xml:space="preserve">       </w:t>
      </w:r>
      <w:r>
        <w:rPr>
          <w:rFonts w:hint="eastAsia"/>
        </w:rPr>
        <w:t xml:space="preserve">日期：     年    月    日</w:t>
      </w:r>
      <w:r/>
    </w:p>
    <w:p>
      <w:pPr>
        <w:jc w:val="center"/>
        <w:rPr>
          <w:rFonts w:hint="eastAsia"/>
          <w:szCs w:val="20"/>
        </w:rPr>
      </w:pPr>
      <w:r>
        <w:rPr>
          <w:rFonts w:hint="eastAsia"/>
          <w:szCs w:val="20"/>
        </w:rPr>
      </w:r>
      <w:r/>
    </w:p>
    <w:p>
      <w:pPr>
        <w:jc w:val="center"/>
        <w:rPr>
          <w:rFonts w:hint="eastAsia"/>
        </w:rPr>
      </w:pPr>
      <w:r>
        <w:rPr>
          <w:rFonts w:hint="eastAsia"/>
        </w:rPr>
      </w:r>
      <w:r/>
    </w:p>
    <w:p>
      <w:pPr>
        <w:jc w:val="center"/>
        <w:rPr>
          <w:rFonts w:hint="eastAsia"/>
        </w:rPr>
      </w:pPr>
      <w:r>
        <w:rPr>
          <w:rFonts w:hint="eastAsia"/>
        </w:rPr>
      </w:r>
      <w:r/>
    </w:p>
    <w:p>
      <w:pPr>
        <w:jc w:val="center"/>
        <w:rPr>
          <w:rFonts w:hint="eastAsia"/>
        </w:rPr>
      </w:pPr>
      <w:r>
        <w:rPr>
          <w:rFonts w:hint="eastAsia"/>
        </w:rPr>
      </w:r>
      <w:r/>
    </w:p>
    <w:p>
      <w:pPr>
        <w:jc w:val="center"/>
        <w:rPr>
          <w:rFonts w:hint="eastAsia"/>
        </w:rPr>
      </w:pPr>
      <w:r>
        <w:rPr>
          <w:rFonts w:hint="eastAsia"/>
        </w:rPr>
      </w:r>
      <w:r/>
    </w:p>
    <w:p>
      <w:pPr>
        <w:jc w:val="center"/>
        <w:rPr>
          <w:rFonts w:hint="eastAsia"/>
        </w:rPr>
      </w:pPr>
      <w:r>
        <w:rPr>
          <w:rFonts w:hint="eastAsia"/>
        </w:rPr>
      </w:r>
      <w:r/>
    </w:p>
    <w:p>
      <w:pPr>
        <w:jc w:val="center"/>
        <w:rPr>
          <w:rFonts w:hint="eastAsia"/>
        </w:rPr>
      </w:pPr>
      <w:r>
        <w:rPr>
          <w:rFonts w:hint="eastAsia"/>
        </w:rPr>
      </w:r>
      <w:r/>
    </w:p>
    <w:p>
      <w:pPr>
        <w:jc w:val="center"/>
        <w:rPr>
          <w:rFonts w:hint="eastAsia"/>
        </w:rPr>
      </w:pPr>
      <w:r>
        <w:rPr>
          <w:rFonts w:hint="eastAsia"/>
        </w:rPr>
      </w:r>
      <w:r/>
    </w:p>
    <w:p>
      <w:pPr>
        <w:jc w:val="center"/>
        <w:rPr>
          <w:rFonts w:hint="eastAsia"/>
        </w:rPr>
      </w:pPr>
      <w:r>
        <w:rPr>
          <w:rFonts w:hint="eastAsia"/>
        </w:rPr>
      </w:r>
      <w:r/>
    </w:p>
    <w:p>
      <w:pPr>
        <w:jc w:val="center"/>
        <w:rPr>
          <w:rFonts w:hint="eastAsia"/>
        </w:rPr>
      </w:pPr>
      <w:r>
        <w:rPr>
          <w:rFonts w:hint="eastAsia"/>
        </w:rPr>
      </w:r>
      <w:r/>
    </w:p>
    <w:p>
      <w:pPr>
        <w:jc w:val="center"/>
        <w:rPr>
          <w:rFonts w:hint="eastAsia"/>
        </w:rPr>
      </w:pPr>
      <w:r>
        <w:rPr>
          <w:rFonts w:hint="eastAsia"/>
        </w:rPr>
      </w:r>
      <w:r/>
    </w:p>
    <w:p>
      <w:pPr>
        <w:jc w:val="center"/>
        <w:rPr>
          <w:rFonts w:hint="eastAsia"/>
        </w:rPr>
      </w:pPr>
      <w:r>
        <w:rPr>
          <w:rFonts w:hint="eastAsia"/>
        </w:rPr>
      </w:r>
      <w:r/>
    </w:p>
    <w:p>
      <w:pPr>
        <w:jc w:val="center"/>
        <w:rPr>
          <w:rFonts w:hint="eastAsia"/>
        </w:rPr>
      </w:pPr>
      <w:r>
        <w:rPr>
          <w:rFonts w:hint="eastAsia"/>
        </w:rPr>
      </w:r>
      <w:r/>
    </w:p>
    <w:p>
      <w:pPr>
        <w:jc w:val="center"/>
        <w:rPr>
          <w:rFonts w:hint="eastAsia"/>
        </w:rPr>
      </w:pPr>
      <w:r>
        <w:rPr>
          <w:rFonts w:hint="eastAsia"/>
        </w:rPr>
      </w:r>
      <w:r/>
    </w:p>
    <w:p>
      <w:pPr>
        <w:jc w:val="center"/>
        <w:rPr>
          <w:rFonts w:hint="eastAsia"/>
        </w:rPr>
      </w:pPr>
      <w:r>
        <w:rPr>
          <w:rFonts w:hint="eastAsia"/>
        </w:rPr>
      </w:r>
      <w:r/>
    </w:p>
    <w:p>
      <w:pPr>
        <w:jc w:val="center"/>
        <w:rPr>
          <w:rFonts w:hint="eastAsia"/>
        </w:rPr>
      </w:pPr>
      <w:r>
        <w:rPr>
          <w:rFonts w:hint="eastAsia"/>
        </w:rPr>
      </w:r>
      <w:r/>
    </w:p>
    <w:p>
      <w:pPr>
        <w:jc w:val="center"/>
        <w:rPr>
          <w:rFonts w:hint="eastAsia"/>
        </w:rPr>
      </w:pPr>
      <w:r>
        <w:rPr>
          <w:rFonts w:hint="eastAsia"/>
        </w:rPr>
      </w:r>
      <w:r/>
    </w:p>
    <w:p>
      <w:pPr>
        <w:jc w:val="center"/>
        <w:rPr>
          <w:rFonts w:hint="eastAsia"/>
        </w:rPr>
      </w:pPr>
      <w:r>
        <w:rPr>
          <w:rFonts w:hint="eastAsia"/>
        </w:rPr>
      </w:r>
      <w:r/>
    </w:p>
    <w:p>
      <w:pPr>
        <w:jc w:val="center"/>
        <w:rPr>
          <w:rFonts w:hint="eastAsia"/>
        </w:rPr>
      </w:pPr>
      <w:r>
        <w:rPr>
          <w:rFonts w:hint="eastAsia"/>
        </w:rPr>
      </w:r>
      <w:r/>
    </w:p>
    <w:p>
      <w:pPr>
        <w:jc w:val="center"/>
        <w:rPr>
          <w:rFonts w:hint="eastAsia"/>
        </w:rPr>
      </w:pPr>
      <w:r>
        <w:rPr>
          <w:rFonts w:hint="eastAsia"/>
        </w:rPr>
      </w:r>
      <w:r/>
    </w:p>
    <w:p>
      <w:pPr>
        <w:jc w:val="center"/>
        <w:rPr>
          <w:rFonts w:hint="eastAsia"/>
        </w:rPr>
      </w:pPr>
      <w:r>
        <w:rPr>
          <w:rFonts w:hint="eastAsia"/>
        </w:rPr>
      </w:r>
      <w:r/>
    </w:p>
    <w:p>
      <w:pPr>
        <w:spacing w:line="400" w:lineRule="exact"/>
        <w:rPr>
          <w:rFonts w:hint="eastAsia"/>
        </w:rPr>
        <w:outlineLvl w:val="1"/>
      </w:pPr>
      <w:r>
        <w:rPr>
          <w:rFonts w:hint="eastAsia"/>
        </w:rPr>
      </w:r>
      <w:r/>
    </w:p>
    <w:p>
      <w:pPr>
        <w:pStyle w:val="907"/>
        <w:rPr>
          <w:rFonts w:hint="eastAsia" w:ascii="宋体" w:hAnsi="宋体"/>
          <w:color w:val="auto"/>
        </w:rPr>
      </w:pPr>
      <w:r>
        <w:rPr>
          <w:rFonts w:hint="eastAsia" w:ascii="宋体" w:hAnsi="宋体"/>
          <w:color w:val="auto"/>
        </w:rPr>
      </w:r>
      <w:r/>
    </w:p>
    <w:p>
      <w:pPr>
        <w:pStyle w:val="907"/>
        <w:rPr>
          <w:rFonts w:hint="eastAsia" w:ascii="宋体" w:hAnsi="宋体"/>
          <w:color w:val="auto"/>
        </w:rPr>
      </w:pPr>
      <w:r>
        <w:rPr>
          <w:rFonts w:hint="eastAsia" w:ascii="宋体" w:hAnsi="宋体"/>
          <w:color w:val="auto"/>
        </w:rPr>
      </w:r>
      <w:r/>
    </w:p>
    <w:p>
      <w:pPr>
        <w:pStyle w:val="907"/>
        <w:rPr>
          <w:rFonts w:hint="eastAsia" w:ascii="宋体" w:hAnsi="宋体"/>
          <w:color w:val="auto"/>
        </w:rPr>
      </w:pPr>
      <w:r>
        <w:rPr>
          <w:rFonts w:hint="eastAsia" w:ascii="宋体" w:hAnsi="宋体"/>
          <w:color w:val="auto"/>
        </w:rPr>
      </w:r>
      <w:r/>
    </w:p>
    <w:p>
      <w:pPr>
        <w:ind w:firstLine="2529"/>
        <w:spacing w:line="400" w:lineRule="exact"/>
        <w:rPr>
          <w:rFonts w:hint="eastAsia"/>
          <w:b/>
          <w:spacing w:val="20"/>
          <w:sz w:val="32"/>
          <w:szCs w:val="32"/>
        </w:rPr>
        <w:outlineLvl w:val="1"/>
      </w:pPr>
      <w:r>
        <w:rPr>
          <w:rFonts w:hint="eastAsia"/>
          <w:b/>
          <w:spacing w:val="20"/>
          <w:sz w:val="32"/>
          <w:szCs w:val="32"/>
        </w:rPr>
      </w:r>
      <w:r/>
    </w:p>
    <w:p>
      <w:pPr>
        <w:ind w:firstLine="2529"/>
        <w:spacing w:line="400" w:lineRule="exact"/>
        <w:rPr>
          <w:rFonts w:hint="eastAsia"/>
          <w:b/>
          <w:spacing w:val="20"/>
          <w:sz w:val="32"/>
          <w:szCs w:val="32"/>
        </w:rPr>
        <w:outlineLvl w:val="1"/>
      </w:pPr>
      <w:r/>
      <w:bookmarkStart w:id="519" w:name="_Toc152683420"/>
      <w:r/>
      <w:bookmarkStart w:id="520" w:name="_Toc152683580"/>
      <w:r/>
      <w:bookmarkStart w:id="521" w:name="_Toc197636592"/>
      <w:r/>
      <w:bookmarkStart w:id="522" w:name="_Toc197636644"/>
      <w:r>
        <w:rPr>
          <w:rFonts w:hint="eastAsia"/>
          <w:b/>
          <w:spacing w:val="20"/>
          <w:sz w:val="32"/>
          <w:szCs w:val="32"/>
        </w:rPr>
        <w:t xml:space="preserve">七</w:t>
      </w:r>
      <w:r>
        <w:rPr>
          <w:rFonts w:hint="eastAsia"/>
          <w:b/>
          <w:spacing w:val="20"/>
          <w:sz w:val="32"/>
          <w:szCs w:val="32"/>
        </w:rPr>
        <w:t xml:space="preserve">、基本服务承诺书</w:t>
      </w:r>
      <w:bookmarkEnd w:id="519"/>
      <w:r/>
      <w:bookmarkEnd w:id="520"/>
      <w:r/>
      <w:bookmarkEnd w:id="521"/>
      <w:r/>
      <w:bookmarkEnd w:id="522"/>
      <w:r>
        <w:rPr>
          <w:rFonts w:hint="eastAsia"/>
          <w:b/>
          <w:spacing w:val="20"/>
          <w:sz w:val="32"/>
          <w:szCs w:val="32"/>
        </w:rPr>
        <w:t xml:space="preserve"> </w:t>
      </w:r>
      <w:r>
        <w:rPr>
          <w:b/>
          <w:spacing w:val="20"/>
          <w:sz w:val="32"/>
          <w:szCs w:val="32"/>
        </w:rPr>
        <w:t xml:space="preserve"> </w:t>
      </w:r>
      <w:r/>
    </w:p>
    <w:p>
      <w:pPr>
        <w:spacing w:line="400" w:lineRule="exact"/>
        <w:rPr>
          <w:rFonts w:hint="eastAsia"/>
          <w:b/>
          <w:bCs/>
          <w:sz w:val="28"/>
          <w:szCs w:val="28"/>
        </w:rPr>
      </w:pPr>
      <w:r>
        <w:rPr>
          <w:rFonts w:hint="eastAsia"/>
          <w:b/>
          <w:bCs/>
          <w:sz w:val="28"/>
          <w:szCs w:val="28"/>
        </w:rPr>
      </w:r>
      <w:r/>
    </w:p>
    <w:p>
      <w:pPr>
        <w:numPr>
          <w:ilvl w:val="0"/>
          <w:numId w:val="10"/>
        </w:numPr>
        <w:ind w:firstLine="480"/>
        <w:spacing w:line="400" w:lineRule="exact"/>
        <w:rPr>
          <w:rFonts w:hint="eastAsia"/>
          <w:sz w:val="20"/>
          <w:szCs w:val="20"/>
        </w:rPr>
      </w:pPr>
      <w:r>
        <w:rPr>
          <w:rFonts w:hint="eastAsia"/>
          <w:bCs/>
        </w:rPr>
        <w:t xml:space="preserve">我单位确保按中标结果确定价格并及时提供货物或服务。</w:t>
      </w:r>
      <w:r/>
    </w:p>
    <w:p>
      <w:pPr>
        <w:ind w:firstLine="480"/>
        <w:spacing w:line="400" w:lineRule="exact"/>
        <w:rPr>
          <w:rFonts w:hint="eastAsia"/>
          <w:bCs/>
          <w:u w:val="single"/>
        </w:rPr>
      </w:pPr>
      <w:r>
        <w:rPr>
          <w:rFonts w:hint="eastAsia"/>
          <w:bCs/>
        </w:rPr>
        <w:t xml:space="preserve">二、承诺的基本服务：（质保期、交货日期、是否响应付款方式等）</w:t>
      </w:r>
      <w:r/>
    </w:p>
    <w:p>
      <w:pPr>
        <w:spacing w:line="400" w:lineRule="exact"/>
        <w:rPr>
          <w:rFonts w:hint="eastAsia"/>
          <w:bCs/>
          <w:u w:val="single"/>
        </w:rPr>
      </w:pPr>
      <w:r>
        <w:rPr>
          <w:rFonts w:hint="eastAsia"/>
          <w:bCs/>
          <w:u w:val="single"/>
        </w:rPr>
        <w:t xml:space="preserve">　　　　　　　　　　　　　　　　　　　　　　　　　　　　　　　　　　　　　　</w:t>
      </w:r>
      <w:r/>
    </w:p>
    <w:p>
      <w:pPr>
        <w:spacing w:line="400" w:lineRule="exact"/>
        <w:rPr>
          <w:rFonts w:hint="eastAsia"/>
          <w:bCs/>
          <w:u w:val="single"/>
        </w:rPr>
      </w:pPr>
      <w:r>
        <w:rPr>
          <w:rFonts w:hint="eastAsia"/>
          <w:bCs/>
          <w:u w:val="single"/>
        </w:rPr>
        <w:t xml:space="preserve">　　　　　　　　　　　　　　　　　　　　　　　　　　　　　　　　　　　　　　</w:t>
      </w:r>
      <w:r/>
    </w:p>
    <w:p>
      <w:pPr>
        <w:spacing w:line="400" w:lineRule="exact"/>
        <w:rPr>
          <w:rFonts w:hint="eastAsia"/>
          <w:bCs/>
          <w:u w:val="single"/>
        </w:rPr>
      </w:pPr>
      <w:r>
        <w:rPr>
          <w:rFonts w:hint="eastAsia"/>
          <w:bCs/>
          <w:u w:val="single"/>
        </w:rPr>
        <w:t xml:space="preserve">　　　　　　　　　　　　　　　　　　　　　　　　　　　　　　　　　　　　　　</w:t>
      </w:r>
      <w:r/>
    </w:p>
    <w:p>
      <w:pPr>
        <w:spacing w:line="400" w:lineRule="exact"/>
        <w:rPr>
          <w:rFonts w:hint="eastAsia"/>
          <w:bCs/>
          <w:u w:val="single"/>
        </w:rPr>
      </w:pPr>
      <w:r>
        <w:rPr>
          <w:rFonts w:hint="eastAsia"/>
          <w:bCs/>
          <w:u w:val="single"/>
        </w:rPr>
        <w:t xml:space="preserve">　　　　　　　　　　　　　　　　　　　　　　　　　　　　　　　　　　　　　　</w:t>
      </w:r>
      <w:r/>
    </w:p>
    <w:p>
      <w:pPr>
        <w:ind w:firstLine="480"/>
        <w:spacing w:line="400" w:lineRule="exact"/>
        <w:rPr>
          <w:rFonts w:hint="eastAsia"/>
          <w:bCs/>
        </w:rPr>
      </w:pPr>
      <w:r>
        <w:rPr>
          <w:rFonts w:hint="eastAsia"/>
          <w:bCs/>
        </w:rPr>
        <w:t xml:space="preserve">三、需要采购人提供的配合：</w:t>
      </w:r>
      <w:r/>
    </w:p>
    <w:p>
      <w:pPr>
        <w:spacing w:line="400" w:lineRule="exact"/>
        <w:rPr>
          <w:rFonts w:hint="eastAsia"/>
          <w:bCs/>
          <w:u w:val="single"/>
        </w:rPr>
      </w:pPr>
      <w:r>
        <w:rPr>
          <w:rFonts w:hint="eastAsia"/>
          <w:bCs/>
          <w:u w:val="single"/>
        </w:rPr>
        <w:t xml:space="preserve">　　　　　　　　　　　　　　　　　　　　　　　　　　　　　　　　　　　　　　</w:t>
      </w:r>
      <w:r/>
    </w:p>
    <w:p>
      <w:pPr>
        <w:spacing w:line="400" w:lineRule="exact"/>
        <w:rPr>
          <w:rFonts w:hint="eastAsia"/>
          <w:bCs/>
          <w:u w:val="single"/>
        </w:rPr>
      </w:pPr>
      <w:r>
        <w:rPr>
          <w:rFonts w:hint="eastAsia"/>
          <w:bCs/>
          <w:u w:val="single"/>
        </w:rPr>
        <w:t xml:space="preserve">　　　　　　　　　　　　　　　　　　　　　　　　　　　　　　　　　　　　　　</w:t>
      </w:r>
      <w:r/>
    </w:p>
    <w:p>
      <w:pPr>
        <w:spacing w:line="400" w:lineRule="exact"/>
        <w:rPr>
          <w:rFonts w:hint="eastAsia"/>
          <w:bCs/>
          <w:u w:val="single"/>
        </w:rPr>
      </w:pPr>
      <w:r>
        <w:rPr>
          <w:rFonts w:hint="eastAsia"/>
          <w:bCs/>
          <w:u w:val="single"/>
        </w:rPr>
        <w:t xml:space="preserve">　　　　　　　　　　　　　　　　　　　　　　　　　　　　　　　　　　　　　　</w:t>
      </w:r>
      <w:r/>
    </w:p>
    <w:p>
      <w:pPr>
        <w:spacing w:line="400" w:lineRule="exact"/>
        <w:rPr>
          <w:rFonts w:hint="eastAsia"/>
          <w:bCs/>
          <w:u w:val="single"/>
        </w:rPr>
      </w:pPr>
      <w:r>
        <w:rPr>
          <w:rFonts w:hint="eastAsia"/>
          <w:bCs/>
          <w:u w:val="single"/>
        </w:rPr>
        <w:t xml:space="preserve">　　　　　　　　　　　　　　　　　　　　　　　　　　　　　　　　　　　　　　</w:t>
      </w:r>
      <w:r/>
    </w:p>
    <w:p>
      <w:pPr>
        <w:ind w:firstLine="480"/>
        <w:spacing w:line="400" w:lineRule="exact"/>
        <w:rPr>
          <w:rFonts w:hint="eastAsia"/>
          <w:bCs/>
        </w:rPr>
      </w:pPr>
      <w:r>
        <w:rPr>
          <w:rFonts w:hint="eastAsia"/>
          <w:bCs/>
        </w:rPr>
        <w:t xml:space="preserve">四、其他服务承诺：</w:t>
      </w:r>
      <w:r/>
    </w:p>
    <w:p>
      <w:pPr>
        <w:spacing w:line="400" w:lineRule="exact"/>
        <w:rPr>
          <w:rFonts w:hint="eastAsia"/>
          <w:bCs/>
          <w:u w:val="single"/>
        </w:rPr>
      </w:pPr>
      <w:r>
        <w:rPr>
          <w:rFonts w:hint="eastAsia"/>
          <w:bCs/>
          <w:u w:val="single"/>
        </w:rPr>
        <w:t xml:space="preserve">　　　　　　　　　　　　　　　　　　　　　　　　　　　　　　　　　　　　　　</w:t>
      </w:r>
      <w:r/>
    </w:p>
    <w:p>
      <w:pPr>
        <w:spacing w:line="400" w:lineRule="exact"/>
        <w:rPr>
          <w:rFonts w:hint="eastAsia"/>
          <w:bCs/>
          <w:u w:val="single"/>
        </w:rPr>
      </w:pPr>
      <w:r>
        <w:rPr>
          <w:rFonts w:hint="eastAsia"/>
          <w:bCs/>
          <w:u w:val="single"/>
        </w:rPr>
        <w:t xml:space="preserve">　　　　　　　　　　　　　　　　　　　　　　　　　　　　　　　　　　　　　　</w:t>
      </w:r>
      <w:r/>
    </w:p>
    <w:p>
      <w:pPr>
        <w:spacing w:line="400" w:lineRule="exact"/>
        <w:rPr>
          <w:rFonts w:hint="eastAsia"/>
          <w:bCs/>
          <w:u w:val="single"/>
        </w:rPr>
      </w:pPr>
      <w:r>
        <w:rPr>
          <w:rFonts w:hint="eastAsia"/>
          <w:bCs/>
          <w:u w:val="single"/>
        </w:rPr>
        <w:t xml:space="preserve">　　　　　　　　　　　　　　　　　　　　　　　　　　　　　　　　　　　　　　</w:t>
      </w:r>
      <w:r/>
    </w:p>
    <w:p>
      <w:pPr>
        <w:spacing w:line="400" w:lineRule="exact"/>
        <w:rPr>
          <w:rFonts w:hint="eastAsia"/>
          <w:bCs/>
          <w:u w:val="single"/>
        </w:rPr>
      </w:pPr>
      <w:r>
        <w:rPr>
          <w:rFonts w:hint="eastAsia"/>
          <w:bCs/>
          <w:u w:val="single"/>
        </w:rPr>
        <w:t xml:space="preserve">　　　　　　　　　　　　　　　　　　　　　　　　　　　　　　　　　　　　　　</w:t>
      </w:r>
      <w:r/>
    </w:p>
    <w:p>
      <w:pPr>
        <w:ind w:firstLine="600"/>
        <w:spacing w:line="400" w:lineRule="exact"/>
        <w:rPr>
          <w:rFonts w:hint="eastAsia"/>
          <w:bCs/>
        </w:rPr>
      </w:pPr>
      <w:r>
        <w:rPr>
          <w:rFonts w:hint="eastAsia"/>
          <w:bCs/>
        </w:rPr>
      </w:r>
      <w:r/>
    </w:p>
    <w:p>
      <w:pPr>
        <w:pStyle w:val="907"/>
        <w:rPr>
          <w:rFonts w:hint="eastAsia" w:ascii="宋体" w:hAnsi="宋体"/>
          <w:color w:val="auto"/>
        </w:rPr>
      </w:pPr>
      <w:r>
        <w:rPr>
          <w:rFonts w:hint="eastAsia" w:ascii="宋体" w:hAnsi="宋体"/>
          <w:color w:val="auto"/>
        </w:rPr>
      </w:r>
      <w:r/>
    </w:p>
    <w:p>
      <w:pPr>
        <w:ind w:firstLine="4320"/>
        <w:spacing w:line="400" w:lineRule="exact"/>
        <w:rPr>
          <w:rFonts w:hint="eastAsia"/>
          <w:bCs/>
        </w:rPr>
      </w:pPr>
      <w:r>
        <w:rPr>
          <w:rFonts w:hint="eastAsia"/>
          <w:bCs/>
        </w:rPr>
        <w:t xml:space="preserve">投标单位名称：</w:t>
      </w:r>
      <w:r>
        <w:rPr>
          <w:rFonts w:hint="eastAsia" w:cs="楷体"/>
        </w:rPr>
        <w:t xml:space="preserve">（加盖CA电子公章） </w:t>
      </w:r>
      <w:r>
        <w:rPr>
          <w:rFonts w:hint="eastAsia"/>
          <w:bCs/>
        </w:rPr>
        <w:t xml:space="preserve"> </w:t>
      </w:r>
      <w:r>
        <w:rPr>
          <w:rFonts w:hint="eastAsia"/>
          <w:bCs/>
        </w:rPr>
        <w:t xml:space="preserve">  </w:t>
      </w:r>
      <w:r/>
    </w:p>
    <w:p>
      <w:pPr>
        <w:jc w:val="center"/>
        <w:spacing w:line="400" w:lineRule="exact"/>
        <w:rPr>
          <w:rFonts w:hint="eastAsia"/>
        </w:rPr>
      </w:pPr>
      <w:r>
        <w:rPr>
          <w:rFonts w:hint="eastAsia"/>
        </w:rPr>
        <w:t xml:space="preserve">   </w:t>
      </w:r>
      <w:r>
        <w:t xml:space="preserve">    </w:t>
      </w:r>
      <w:r>
        <w:rPr>
          <w:rFonts w:hint="eastAsia"/>
        </w:rPr>
        <w:t xml:space="preserve">   </w:t>
      </w:r>
      <w:r>
        <w:t xml:space="preserve">               </w:t>
      </w:r>
      <w:r>
        <w:rPr>
          <w:rFonts w:hint="eastAsia"/>
        </w:rPr>
        <w:t xml:space="preserve">日期：     年    月    日</w:t>
      </w:r>
      <w:r/>
    </w:p>
    <w:p>
      <w:pPr>
        <w:keepLines/>
        <w:keepNext/>
        <w:spacing w:after="240" w:line="360" w:lineRule="auto"/>
        <w:rPr>
          <w:rFonts w:hint="eastAsia"/>
        </w:rPr>
        <w:outlineLvl w:val="0"/>
      </w:pPr>
      <w:r>
        <w:rPr>
          <w:rFonts w:hint="eastAsia"/>
        </w:rPr>
      </w:r>
      <w:r/>
    </w:p>
    <w:p>
      <w:pPr>
        <w:pStyle w:val="907"/>
        <w:rPr>
          <w:rFonts w:hint="eastAsia" w:ascii="宋体" w:hAnsi="宋体"/>
          <w:color w:val="auto"/>
        </w:rPr>
      </w:pPr>
      <w:r>
        <w:rPr>
          <w:rFonts w:hint="eastAsia" w:ascii="宋体" w:hAnsi="宋体"/>
          <w:color w:val="auto"/>
        </w:rPr>
      </w:r>
      <w:r/>
    </w:p>
    <w:p>
      <w:pPr>
        <w:pStyle w:val="907"/>
        <w:rPr>
          <w:rFonts w:hint="eastAsia" w:ascii="宋体" w:hAnsi="宋体"/>
          <w:color w:val="auto"/>
        </w:rPr>
      </w:pPr>
      <w:r>
        <w:rPr>
          <w:rFonts w:hint="eastAsia" w:ascii="宋体" w:hAnsi="宋体"/>
          <w:color w:val="auto"/>
        </w:rPr>
      </w:r>
      <w:r/>
    </w:p>
    <w:p>
      <w:pPr>
        <w:pStyle w:val="907"/>
        <w:rPr>
          <w:rFonts w:hint="eastAsia" w:ascii="宋体" w:hAnsi="宋体"/>
          <w:color w:val="auto"/>
        </w:rPr>
      </w:pPr>
      <w:r>
        <w:rPr>
          <w:rFonts w:hint="eastAsia" w:ascii="宋体" w:hAnsi="宋体"/>
          <w:color w:val="auto"/>
        </w:rPr>
      </w:r>
      <w:r/>
    </w:p>
    <w:p>
      <w:pPr>
        <w:pStyle w:val="907"/>
        <w:rPr>
          <w:rFonts w:hint="eastAsia" w:ascii="宋体" w:hAnsi="宋体"/>
          <w:color w:val="auto"/>
        </w:rPr>
      </w:pPr>
      <w:r>
        <w:rPr>
          <w:rFonts w:hint="eastAsia" w:ascii="宋体" w:hAnsi="宋体"/>
          <w:color w:val="auto"/>
        </w:rPr>
      </w:r>
      <w:r/>
    </w:p>
    <w:p>
      <w:pPr>
        <w:pStyle w:val="907"/>
        <w:rPr>
          <w:rFonts w:hint="eastAsia" w:ascii="宋体" w:hAnsi="宋体"/>
          <w:color w:val="auto"/>
        </w:rPr>
      </w:pPr>
      <w:r>
        <w:rPr>
          <w:rFonts w:hint="eastAsia" w:ascii="宋体" w:hAnsi="宋体"/>
          <w:color w:val="auto"/>
        </w:rPr>
      </w:r>
      <w:r/>
    </w:p>
    <w:p>
      <w:pPr>
        <w:pStyle w:val="907"/>
        <w:rPr>
          <w:rFonts w:hint="eastAsia" w:ascii="宋体" w:hAnsi="宋体"/>
          <w:color w:val="auto"/>
        </w:rPr>
      </w:pPr>
      <w:r>
        <w:rPr>
          <w:rFonts w:hint="eastAsia" w:ascii="宋体" w:hAnsi="宋体"/>
          <w:color w:val="auto"/>
        </w:rPr>
      </w:r>
      <w:r/>
    </w:p>
    <w:p>
      <w:pPr>
        <w:pStyle w:val="907"/>
        <w:rPr>
          <w:rFonts w:hint="eastAsia" w:ascii="宋体" w:hAnsi="宋体"/>
          <w:color w:val="auto"/>
        </w:rPr>
      </w:pPr>
      <w:r>
        <w:rPr>
          <w:rFonts w:hint="eastAsia" w:ascii="宋体" w:hAnsi="宋体"/>
          <w:color w:val="auto"/>
        </w:rPr>
      </w:r>
      <w:r/>
    </w:p>
    <w:p>
      <w:pPr>
        <w:pStyle w:val="907"/>
        <w:rPr>
          <w:rFonts w:hint="eastAsia" w:ascii="宋体" w:hAnsi="宋体"/>
          <w:color w:val="auto"/>
        </w:rPr>
      </w:pPr>
      <w:r>
        <w:rPr>
          <w:rFonts w:hint="eastAsia" w:ascii="宋体" w:hAnsi="宋体"/>
          <w:color w:val="auto"/>
        </w:rPr>
      </w:r>
      <w:r/>
    </w:p>
    <w:p>
      <w:pPr>
        <w:pStyle w:val="907"/>
        <w:rPr>
          <w:rFonts w:hint="eastAsia" w:ascii="宋体" w:hAnsi="宋体"/>
          <w:color w:val="auto"/>
        </w:rPr>
      </w:pPr>
      <w:r>
        <w:rPr>
          <w:rFonts w:hint="eastAsia" w:ascii="宋体" w:hAnsi="宋体"/>
          <w:color w:val="auto"/>
        </w:rPr>
      </w:r>
      <w:r/>
    </w:p>
    <w:p>
      <w:pPr>
        <w:pStyle w:val="907"/>
        <w:rPr>
          <w:rFonts w:hint="eastAsia" w:ascii="宋体" w:hAnsi="宋体"/>
          <w:color w:val="auto"/>
        </w:rPr>
      </w:pPr>
      <w:r>
        <w:rPr>
          <w:rFonts w:hint="eastAsia" w:ascii="宋体" w:hAnsi="宋体"/>
          <w:color w:val="auto"/>
        </w:rPr>
      </w:r>
      <w:r/>
    </w:p>
    <w:p>
      <w:pPr>
        <w:pStyle w:val="907"/>
        <w:rPr>
          <w:rFonts w:hint="eastAsia" w:ascii="宋体" w:hAnsi="宋体"/>
          <w:color w:val="auto"/>
        </w:rPr>
      </w:pPr>
      <w:r>
        <w:rPr>
          <w:rFonts w:hint="eastAsia" w:ascii="宋体" w:hAnsi="宋体"/>
          <w:color w:val="auto"/>
        </w:rPr>
      </w:r>
      <w:r/>
    </w:p>
    <w:p>
      <w:pPr>
        <w:pStyle w:val="907"/>
        <w:rPr>
          <w:rFonts w:hint="eastAsia" w:ascii="宋体" w:hAnsi="宋体"/>
          <w:color w:val="auto"/>
        </w:rPr>
      </w:pPr>
      <w:r>
        <w:rPr>
          <w:rFonts w:hint="eastAsia" w:ascii="宋体" w:hAnsi="宋体"/>
          <w:color w:val="auto"/>
        </w:rPr>
      </w:r>
      <w:r/>
    </w:p>
    <w:p>
      <w:pPr>
        <w:pStyle w:val="907"/>
        <w:rPr>
          <w:rFonts w:hint="eastAsia" w:ascii="宋体" w:hAnsi="宋体"/>
          <w:color w:val="auto"/>
        </w:rPr>
      </w:pPr>
      <w:r>
        <w:rPr>
          <w:rFonts w:hint="eastAsia" w:ascii="宋体" w:hAnsi="宋体"/>
          <w:color w:val="auto"/>
        </w:rPr>
      </w:r>
      <w:r/>
    </w:p>
    <w:p>
      <w:pPr>
        <w:pStyle w:val="907"/>
        <w:rPr>
          <w:rFonts w:hint="eastAsia" w:ascii="宋体" w:hAnsi="宋体"/>
          <w:color w:val="auto"/>
        </w:rPr>
      </w:pPr>
      <w:r>
        <w:rPr>
          <w:rFonts w:hint="eastAsia" w:ascii="宋体" w:hAnsi="宋体"/>
          <w:color w:val="auto"/>
        </w:rPr>
      </w:r>
      <w:r/>
    </w:p>
    <w:p>
      <w:pPr>
        <w:jc w:val="center"/>
        <w:spacing w:line="360" w:lineRule="auto"/>
        <w:rPr>
          <w:rFonts w:hint="eastAsia"/>
          <w:b/>
          <w:spacing w:val="20"/>
          <w:sz w:val="30"/>
          <w:szCs w:val="30"/>
        </w:rPr>
      </w:pPr>
      <w:r>
        <w:rPr>
          <w:rFonts w:hint="eastAsia"/>
          <w:b/>
          <w:spacing w:val="20"/>
          <w:sz w:val="30"/>
          <w:szCs w:val="30"/>
        </w:rPr>
        <w:t xml:space="preserve">八、法人授权书（实质性格式）</w:t>
      </w:r>
      <w:r/>
    </w:p>
    <w:p>
      <w:pPr>
        <w:ind w:firstLine="480"/>
        <w:spacing w:line="360" w:lineRule="auto"/>
        <w:tabs>
          <w:tab w:val="left" w:pos="360" w:leader="none"/>
        </w:tabs>
        <w:rPr>
          <w:rFonts w:hint="eastAsia"/>
        </w:rPr>
      </w:pPr>
      <w:r>
        <w:rPr>
          <w:rFonts w:hint="eastAsia"/>
        </w:rPr>
        <w:t xml:space="preserve">本授权书声明：</w:t>
      </w:r>
      <w:r>
        <w:t xml:space="preserve">____________</w:t>
      </w:r>
      <w:r>
        <w:rPr>
          <w:rFonts w:hint="eastAsia"/>
        </w:rPr>
        <w:t xml:space="preserve">（供应商名称）授权</w:t>
      </w:r>
      <w:r>
        <w:t xml:space="preserve">________________</w:t>
      </w:r>
      <w:r>
        <w:rPr>
          <w:rFonts w:hint="eastAsia"/>
        </w:rPr>
        <w:t xml:space="preserve">（被授权人的姓名）为我方就</w:t>
      </w:r>
      <w:bookmarkStart w:id="523" w:name="_Hlk152171232"/>
      <w:r>
        <w:rPr>
          <w:rFonts w:hint="eastAsia"/>
          <w:u w:val="single"/>
        </w:rPr>
        <w:t xml:space="preserve"> </w:t>
      </w:r>
      <w:r>
        <w:rPr>
          <w:u w:val="single"/>
        </w:rPr>
        <w:t xml:space="preserve">          </w:t>
      </w:r>
      <w:r>
        <w:rPr>
          <w:rFonts w:hint="eastAsia"/>
        </w:rPr>
        <w:t xml:space="preserve">（项目名称，项目编号/包号）</w:t>
      </w:r>
      <w:bookmarkEnd w:id="523"/>
      <w:r>
        <w:rPr>
          <w:rFonts w:hint="eastAsia"/>
        </w:rPr>
        <w:t xml:space="preserve">采购活动的合法代理人，以本单位名义全权处理一切与该项目采购有关的事务。</w:t>
      </w:r>
      <w:r/>
    </w:p>
    <w:p>
      <w:pPr>
        <w:ind w:firstLine="480"/>
        <w:spacing w:line="360" w:lineRule="auto"/>
        <w:tabs>
          <w:tab w:val="left" w:pos="360" w:leader="none"/>
        </w:tabs>
        <w:rPr>
          <w:rFonts w:hint="eastAsia"/>
        </w:rPr>
      </w:pPr>
      <w:r>
        <w:rPr>
          <w:rFonts w:hint="eastAsia"/>
        </w:rPr>
        <w:t xml:space="preserve">本授权书于</w:t>
      </w:r>
      <w:r>
        <w:t xml:space="preserve">______</w:t>
      </w:r>
      <w:r>
        <w:rPr>
          <w:rFonts w:hint="eastAsia"/>
        </w:rPr>
        <w:t xml:space="preserve">年</w:t>
      </w:r>
      <w:r>
        <w:t xml:space="preserve">____</w:t>
      </w:r>
      <w:r>
        <w:rPr>
          <w:rFonts w:hint="eastAsia"/>
        </w:rPr>
        <w:t xml:space="preserve">月</w:t>
      </w:r>
      <w:r>
        <w:t xml:space="preserve">____</w:t>
      </w:r>
      <w:r>
        <w:rPr>
          <w:rFonts w:hint="eastAsia"/>
        </w:rPr>
        <w:t xml:space="preserve">日起生效，特此声明。</w:t>
      </w:r>
      <w:r/>
    </w:p>
    <w:p>
      <w:pPr>
        <w:ind w:firstLine="480"/>
        <w:spacing w:line="360" w:lineRule="auto"/>
        <w:tabs>
          <w:tab w:val="left" w:pos="360" w:leader="none"/>
        </w:tabs>
        <w:rPr>
          <w:rFonts w:hint="eastAsia"/>
        </w:rPr>
      </w:pPr>
      <w:r>
        <w:rPr>
          <w:rFonts w:hint="eastAsia"/>
        </w:rPr>
      </w:r>
      <w:r/>
    </w:p>
    <w:p>
      <w:pPr>
        <w:spacing w:line="360" w:lineRule="auto"/>
        <w:tabs>
          <w:tab w:val="left" w:pos="360" w:leader="none"/>
        </w:tabs>
        <w:rPr>
          <w:rFonts w:hint="eastAsia"/>
          <w:u w:val="single"/>
        </w:rPr>
      </w:pPr>
      <w:r>
        <w:t xml:space="preserve">    </w:t>
      </w:r>
      <w:r>
        <w:rPr>
          <w:rFonts w:hint="eastAsia"/>
        </w:rPr>
        <w:t xml:space="preserve">被授权人身份证号码：</w:t>
      </w:r>
      <w:r>
        <w:rPr>
          <w:u w:val="single"/>
        </w:rPr>
        <w:t xml:space="preserve">                              </w:t>
      </w:r>
      <w:r/>
    </w:p>
    <w:p>
      <w:pPr>
        <w:ind w:firstLine="480"/>
        <w:spacing w:line="360" w:lineRule="auto"/>
        <w:tabs>
          <w:tab w:val="left" w:pos="360" w:leader="none"/>
        </w:tabs>
        <w:rPr>
          <w:rFonts w:hint="eastAsia"/>
          <w:u w:val="single"/>
        </w:rPr>
      </w:pPr>
      <w:r>
        <w:rPr>
          <w:rFonts w:hint="eastAsia"/>
        </w:rPr>
        <w:t xml:space="preserve">被授权人联系电话：（手机）</w:t>
      </w:r>
      <w:r>
        <w:rPr>
          <w:u w:val="single"/>
        </w:rPr>
        <w:t xml:space="preserve">                          </w:t>
      </w:r>
      <w:r/>
    </w:p>
    <w:p>
      <w:pPr>
        <w:ind w:firstLine="480"/>
        <w:spacing w:line="360" w:lineRule="auto"/>
        <w:tabs>
          <w:tab w:val="left" w:pos="360" w:leader="none"/>
        </w:tabs>
        <w:rPr>
          <w:rFonts w:hint="eastAsia"/>
          <w:u w:val="single"/>
        </w:rPr>
      </w:pPr>
      <w:r>
        <w:rPr>
          <w:rFonts w:hint="eastAsia" w:cs="楷体"/>
        </w:rPr>
        <w:t xml:space="preserve">法定代表人身份证号码：</w:t>
      </w:r>
      <w:r>
        <w:rPr>
          <w:rFonts w:hint="eastAsia" w:cs="楷体"/>
          <w:u w:val="single"/>
        </w:rPr>
        <w:t xml:space="preserve">                      </w:t>
      </w:r>
      <w:r/>
    </w:p>
    <w:p>
      <w:pPr>
        <w:ind w:firstLine="480"/>
        <w:spacing w:line="360" w:lineRule="auto"/>
        <w:rPr>
          <w:rFonts w:hint="eastAsia"/>
          <w:sz w:val="20"/>
          <w:szCs w:val="20"/>
        </w:rPr>
      </w:pPr>
      <w:r>
        <w:rPr>
          <w:rFonts w:hint="eastAsia" w:cs="楷体"/>
        </w:rPr>
        <w:t xml:space="preserve">法定代表人联系方式（手机）：</w:t>
      </w:r>
      <w:r>
        <w:rPr>
          <w:rFonts w:hint="eastAsia" w:cs="楷体"/>
          <w:u w:val="single"/>
        </w:rPr>
        <w:t xml:space="preserve">              </w:t>
      </w:r>
      <w:r/>
    </w:p>
    <w:p>
      <w:pPr>
        <w:ind w:firstLine="4080"/>
        <w:spacing w:line="360" w:lineRule="auto"/>
        <w:tabs>
          <w:tab w:val="left" w:pos="360" w:leader="none"/>
        </w:tabs>
        <w:rPr>
          <w:rFonts w:hint="eastAsia"/>
        </w:rPr>
      </w:pPr>
      <w:r>
        <w:rPr>
          <w:rFonts w:hint="eastAsia"/>
        </w:rPr>
      </w:r>
      <w:r/>
    </w:p>
    <w:p>
      <w:pPr>
        <w:ind w:firstLine="4080"/>
        <w:spacing w:line="360" w:lineRule="auto"/>
        <w:tabs>
          <w:tab w:val="left" w:pos="360" w:leader="none"/>
        </w:tabs>
        <w:rPr>
          <w:rFonts w:hint="eastAsia"/>
        </w:rPr>
      </w:pPr>
      <w:r>
        <w:rPr>
          <w:rFonts w:hint="eastAsia"/>
        </w:rPr>
        <w:t xml:space="preserve">授权单位名称：</w:t>
      </w:r>
      <w:r>
        <w:rPr>
          <w:rFonts w:hint="eastAsia"/>
          <w:u w:val="single"/>
        </w:rPr>
        <w:t xml:space="preserve">（加盖</w:t>
      </w:r>
      <w:r>
        <w:rPr>
          <w:u w:val="single"/>
        </w:rPr>
        <w:t xml:space="preserve">CA</w:t>
      </w:r>
      <w:r>
        <w:rPr>
          <w:rFonts w:hint="eastAsia"/>
          <w:u w:val="single"/>
        </w:rPr>
        <w:t xml:space="preserve">电子公章）</w:t>
      </w:r>
      <w:r/>
    </w:p>
    <w:p>
      <w:pPr>
        <w:ind w:firstLine="480"/>
        <w:spacing w:line="360" w:lineRule="auto"/>
        <w:tabs>
          <w:tab w:val="left" w:pos="360" w:leader="none"/>
        </w:tabs>
        <w:rPr>
          <w:rFonts w:hint="eastAsia"/>
          <w:u w:val="single"/>
        </w:rPr>
      </w:pPr>
      <w:r>
        <w:t xml:space="preserve">                             </w:t>
      </w:r>
      <w:r>
        <w:rPr>
          <w:rFonts w:hint="eastAsia"/>
        </w:rPr>
        <w:t xml:space="preserve">单位地址：</w:t>
      </w:r>
      <w:r>
        <w:rPr>
          <w:u w:val="single"/>
        </w:rPr>
        <w:t xml:space="preserve">                     </w:t>
      </w:r>
      <w:r/>
    </w:p>
    <w:p>
      <w:pPr>
        <w:ind w:firstLine="480"/>
        <w:spacing w:line="360" w:lineRule="auto"/>
        <w:tabs>
          <w:tab w:val="left" w:pos="360" w:leader="none"/>
        </w:tabs>
        <w:rPr>
          <w:rFonts w:hint="eastAsia"/>
          <w:u w:val="single"/>
        </w:rPr>
      </w:pPr>
      <w:r>
        <w:t xml:space="preserve">                              </w:t>
      </w:r>
      <w:r>
        <w:rPr>
          <w:rFonts w:hint="eastAsia"/>
        </w:rPr>
        <w:t xml:space="preserve">日期：</w:t>
      </w:r>
      <w:bookmarkStart w:id="524" w:name="_格式3__银行出具的资信证明"/>
      <w:r/>
      <w:bookmarkStart w:id="525" w:name="_Hlt26671380"/>
      <w:r/>
      <w:bookmarkStart w:id="526" w:name="_Hlt26955070"/>
      <w:r/>
      <w:bookmarkEnd w:id="524"/>
      <w:r/>
      <w:bookmarkEnd w:id="525"/>
      <w:r/>
      <w:bookmarkEnd w:id="526"/>
      <w:r/>
      <w:r/>
    </w:p>
    <w:p>
      <w:pPr>
        <w:ind w:firstLine="480"/>
        <w:spacing w:line="360" w:lineRule="auto"/>
        <w:rPr>
          <w:rFonts w:hint="eastAsia" w:cs="楷体"/>
          <w:u w:val="single"/>
        </w:rPr>
      </w:pPr>
      <w:r>
        <w:rPr>
          <w:rFonts w:hint="eastAsia" w:cs="楷体"/>
        </w:rPr>
        <w:t xml:space="preserve">注意事项：</w:t>
      </w:r>
      <w:r>
        <w:rPr>
          <w:rFonts w:hint="eastAsia" w:cs="楷体"/>
          <w:u w:val="single"/>
        </w:rPr>
        <w:t xml:space="preserve">需附法定代表人第二代居民身份证复印件（正反面）和被授权人第二代居民身份证复印件（正反面）。</w:t>
      </w:r>
      <w:r/>
    </w:p>
    <w:p>
      <w:pPr>
        <w:pStyle w:val="907"/>
        <w:rPr>
          <w:rFonts w:hint="eastAsia" w:ascii="宋体" w:hAnsi="宋体"/>
          <w:color w:val="auto"/>
        </w:rPr>
      </w:pPr>
      <w:r>
        <w:rPr>
          <w:rFonts w:hint="eastAsia" w:ascii="宋体" w:hAnsi="宋体"/>
          <w:color w:val="auto"/>
        </w:rPr>
      </w:r>
      <w:r/>
    </w:p>
    <w:p>
      <w:pPr>
        <w:pStyle w:val="907"/>
        <w:rPr>
          <w:rFonts w:hint="eastAsia" w:ascii="宋体" w:hAnsi="宋体"/>
          <w:color w:val="auto"/>
        </w:rPr>
      </w:pPr>
      <w:r>
        <w:rPr>
          <w:rFonts w:hint="eastAsia" w:ascii="宋体" w:hAnsi="宋体"/>
          <w:color w:val="auto"/>
        </w:rPr>
      </w:r>
      <w:r/>
    </w:p>
    <w:p>
      <w:pPr>
        <w:pStyle w:val="907"/>
        <w:rPr>
          <w:rFonts w:hint="eastAsia" w:ascii="宋体" w:hAnsi="宋体"/>
          <w:color w:val="auto"/>
        </w:rPr>
      </w:pPr>
      <w:r>
        <w:rPr>
          <w:rFonts w:hint="eastAsia" w:ascii="宋体" w:hAnsi="宋体"/>
          <w:color w:val="auto"/>
        </w:rPr>
      </w:r>
      <w:r/>
    </w:p>
    <w:p>
      <w:pPr>
        <w:pStyle w:val="907"/>
        <w:rPr>
          <w:rFonts w:hint="eastAsia" w:ascii="宋体" w:hAnsi="宋体"/>
          <w:color w:val="auto"/>
        </w:rPr>
      </w:pPr>
      <w:r>
        <w:rPr>
          <w:rFonts w:hint="eastAsia" w:ascii="宋体" w:hAnsi="宋体"/>
          <w:color w:val="auto"/>
        </w:rPr>
      </w:r>
      <w:r/>
    </w:p>
    <w:p>
      <w:pPr>
        <w:pStyle w:val="907"/>
        <w:rPr>
          <w:rFonts w:hint="eastAsia" w:ascii="宋体" w:hAnsi="宋体"/>
          <w:color w:val="auto"/>
        </w:rPr>
      </w:pPr>
      <w:r>
        <w:rPr>
          <w:rFonts w:hint="eastAsia" w:ascii="宋体" w:hAnsi="宋体"/>
          <w:color w:val="auto"/>
        </w:rPr>
      </w:r>
      <w:r/>
    </w:p>
    <w:p>
      <w:pPr>
        <w:pStyle w:val="907"/>
        <w:rPr>
          <w:rFonts w:hint="eastAsia" w:ascii="宋体" w:hAnsi="宋体"/>
          <w:color w:val="auto"/>
        </w:rPr>
      </w:pPr>
      <w:r>
        <w:rPr>
          <w:rFonts w:hint="eastAsia" w:ascii="宋体" w:hAnsi="宋体"/>
          <w:color w:val="auto"/>
        </w:rPr>
      </w:r>
      <w:r/>
    </w:p>
    <w:p>
      <w:pPr>
        <w:pStyle w:val="907"/>
        <w:rPr>
          <w:rFonts w:hint="eastAsia" w:ascii="宋体" w:hAnsi="宋体"/>
          <w:color w:val="auto"/>
        </w:rPr>
      </w:pPr>
      <w:r>
        <w:rPr>
          <w:rFonts w:hint="eastAsia" w:ascii="宋体" w:hAnsi="宋体"/>
          <w:color w:val="auto"/>
        </w:rPr>
      </w:r>
      <w:r/>
    </w:p>
    <w:p>
      <w:pPr>
        <w:pStyle w:val="907"/>
        <w:rPr>
          <w:rFonts w:hint="eastAsia" w:ascii="宋体" w:hAnsi="宋体"/>
          <w:color w:val="auto"/>
        </w:rPr>
      </w:pPr>
      <w:r>
        <w:rPr>
          <w:rFonts w:hint="eastAsia" w:ascii="宋体" w:hAnsi="宋体"/>
          <w:color w:val="auto"/>
        </w:rPr>
      </w:r>
      <w:r/>
    </w:p>
    <w:p>
      <w:pPr>
        <w:pStyle w:val="907"/>
        <w:rPr>
          <w:rFonts w:hint="eastAsia" w:ascii="宋体" w:hAnsi="宋体"/>
          <w:color w:val="auto"/>
        </w:rPr>
      </w:pPr>
      <w:r>
        <w:rPr>
          <w:rFonts w:hint="eastAsia" w:ascii="宋体" w:hAnsi="宋体"/>
          <w:color w:val="auto"/>
        </w:rPr>
      </w:r>
      <w:r/>
    </w:p>
    <w:p>
      <w:pPr>
        <w:pStyle w:val="907"/>
        <w:rPr>
          <w:rFonts w:hint="eastAsia" w:ascii="宋体" w:hAnsi="宋体"/>
          <w:color w:val="auto"/>
        </w:rPr>
      </w:pPr>
      <w:r>
        <w:rPr>
          <w:rFonts w:hint="eastAsia" w:ascii="宋体" w:hAnsi="宋体"/>
          <w:color w:val="auto"/>
        </w:rPr>
      </w:r>
      <w:r/>
    </w:p>
    <w:p>
      <w:pPr>
        <w:pStyle w:val="907"/>
        <w:rPr>
          <w:rFonts w:hint="eastAsia" w:ascii="宋体" w:hAnsi="宋体"/>
          <w:color w:val="auto"/>
        </w:rPr>
      </w:pPr>
      <w:r>
        <w:rPr>
          <w:rFonts w:hint="eastAsia" w:ascii="宋体" w:hAnsi="宋体"/>
          <w:color w:val="auto"/>
        </w:rPr>
      </w:r>
      <w:r/>
    </w:p>
    <w:p>
      <w:pPr>
        <w:pStyle w:val="907"/>
        <w:rPr>
          <w:rFonts w:hint="eastAsia" w:ascii="宋体" w:hAnsi="宋体"/>
          <w:color w:val="auto"/>
        </w:rPr>
      </w:pPr>
      <w:r>
        <w:rPr>
          <w:rFonts w:hint="eastAsia" w:ascii="宋体" w:hAnsi="宋体"/>
          <w:color w:val="auto"/>
        </w:rPr>
      </w:r>
      <w:r/>
    </w:p>
    <w:p>
      <w:pPr>
        <w:pStyle w:val="907"/>
        <w:rPr>
          <w:rFonts w:hint="eastAsia" w:ascii="宋体" w:hAnsi="宋体"/>
          <w:color w:val="auto"/>
        </w:rPr>
      </w:pPr>
      <w:r>
        <w:rPr>
          <w:rFonts w:hint="eastAsia" w:ascii="宋体" w:hAnsi="宋体"/>
          <w:color w:val="auto"/>
        </w:rPr>
      </w:r>
      <w:r/>
    </w:p>
    <w:p>
      <w:pPr>
        <w:pStyle w:val="907"/>
        <w:rPr>
          <w:rFonts w:hint="eastAsia" w:ascii="宋体" w:hAnsi="宋体"/>
          <w:color w:val="auto"/>
        </w:rPr>
      </w:pPr>
      <w:r>
        <w:rPr>
          <w:rFonts w:hint="eastAsia" w:ascii="宋体" w:hAnsi="宋体"/>
          <w:color w:val="auto"/>
        </w:rPr>
      </w:r>
      <w:r/>
    </w:p>
    <w:p>
      <w:pPr>
        <w:pStyle w:val="907"/>
        <w:rPr>
          <w:rFonts w:hint="eastAsia" w:ascii="宋体" w:hAnsi="宋体"/>
          <w:color w:val="auto"/>
        </w:rPr>
      </w:pPr>
      <w:r>
        <w:rPr>
          <w:rFonts w:hint="eastAsia" w:ascii="宋体" w:hAnsi="宋体"/>
          <w:color w:val="auto"/>
        </w:rPr>
      </w:r>
      <w:r/>
    </w:p>
    <w:p>
      <w:pPr>
        <w:pStyle w:val="907"/>
        <w:rPr>
          <w:rFonts w:hint="eastAsia" w:ascii="宋体" w:hAnsi="宋体"/>
          <w:color w:val="auto"/>
        </w:rPr>
      </w:pPr>
      <w:r>
        <w:rPr>
          <w:rFonts w:hint="eastAsia" w:ascii="宋体" w:hAnsi="宋体"/>
          <w:color w:val="auto"/>
        </w:rPr>
      </w:r>
      <w:r/>
    </w:p>
    <w:p>
      <w:pPr>
        <w:pStyle w:val="907"/>
        <w:rPr>
          <w:rFonts w:hint="eastAsia" w:ascii="宋体" w:hAnsi="宋体"/>
          <w:color w:val="auto"/>
        </w:rPr>
      </w:pPr>
      <w:r>
        <w:rPr>
          <w:rFonts w:hint="eastAsia" w:ascii="宋体" w:hAnsi="宋体"/>
          <w:color w:val="auto"/>
        </w:rPr>
      </w:r>
      <w:r/>
    </w:p>
    <w:p>
      <w:pPr>
        <w:pStyle w:val="907"/>
        <w:rPr>
          <w:rFonts w:hint="eastAsia" w:ascii="宋体" w:hAnsi="宋体"/>
          <w:color w:val="auto"/>
        </w:rPr>
      </w:pPr>
      <w:r>
        <w:rPr>
          <w:rFonts w:hint="eastAsia" w:ascii="宋体" w:hAnsi="宋体"/>
          <w:color w:val="auto"/>
        </w:rPr>
      </w:r>
      <w:r/>
    </w:p>
    <w:p>
      <w:pPr>
        <w:pStyle w:val="907"/>
        <w:rPr>
          <w:rFonts w:hint="eastAsia" w:ascii="宋体" w:hAnsi="宋体"/>
          <w:color w:val="auto"/>
        </w:rPr>
      </w:pPr>
      <w:r>
        <w:rPr>
          <w:rFonts w:hint="eastAsia" w:ascii="宋体" w:hAnsi="宋体"/>
          <w:color w:val="auto"/>
        </w:rPr>
      </w:r>
      <w:r/>
    </w:p>
    <w:p>
      <w:pPr>
        <w:pStyle w:val="907"/>
        <w:rPr>
          <w:rFonts w:hint="eastAsia" w:ascii="宋体" w:hAnsi="宋体"/>
          <w:color w:val="auto"/>
        </w:rPr>
      </w:pPr>
      <w:r>
        <w:rPr>
          <w:rFonts w:hint="eastAsia" w:ascii="宋体" w:hAnsi="宋体"/>
          <w:color w:val="auto"/>
        </w:rPr>
      </w:r>
      <w:r/>
    </w:p>
    <w:p>
      <w:pPr>
        <w:ind w:firstLine="723"/>
        <w:jc w:val="center"/>
        <w:spacing w:after="120" w:line="360" w:lineRule="auto"/>
        <w:rPr>
          <w:rFonts w:hint="eastAsia"/>
          <w:b/>
          <w:spacing w:val="20"/>
          <w:sz w:val="32"/>
          <w:szCs w:val="32"/>
        </w:rPr>
      </w:pPr>
      <w:r>
        <w:rPr>
          <w:rFonts w:hint="eastAsia"/>
          <w:b/>
          <w:spacing w:val="20"/>
          <w:sz w:val="32"/>
          <w:szCs w:val="32"/>
        </w:rPr>
        <w:t xml:space="preserve">九</w:t>
      </w:r>
      <w:r>
        <w:rPr>
          <w:rFonts w:hint="eastAsia"/>
          <w:b/>
          <w:spacing w:val="20"/>
          <w:sz w:val="32"/>
          <w:szCs w:val="32"/>
        </w:rPr>
        <w:t xml:space="preserve">、资格承诺声明函</w:t>
      </w:r>
      <w:r>
        <w:rPr>
          <w:b/>
          <w:spacing w:val="20"/>
          <w:sz w:val="32"/>
          <w:szCs w:val="32"/>
        </w:rPr>
        <w:t xml:space="preserve">（实质性格式）</w:t>
      </w:r>
      <w:r/>
    </w:p>
    <w:p>
      <w:pPr>
        <w:spacing w:line="500" w:lineRule="exact"/>
        <w:rPr>
          <w:rFonts w:hint="eastAsia" w:cs="楷体"/>
        </w:rPr>
      </w:pPr>
      <w:r>
        <w:rPr>
          <w:rFonts w:hint="eastAsia" w:cs="楷体"/>
        </w:rPr>
        <w:t xml:space="preserve">致本项目采购单位及</w:t>
      </w:r>
      <w:r>
        <w:rPr>
          <w:rFonts w:hint="eastAsia" w:cs="楷体"/>
        </w:rPr>
        <w:t xml:space="preserve">常州新一诚项目管理有限公司</w:t>
      </w:r>
      <w:r>
        <w:rPr>
          <w:rFonts w:hint="eastAsia" w:cs="楷体"/>
        </w:rPr>
        <w:t xml:space="preserve">：</w:t>
      </w:r>
      <w:r/>
    </w:p>
    <w:p>
      <w:pPr>
        <w:ind w:firstLine="480"/>
        <w:spacing w:line="500" w:lineRule="exact"/>
        <w:rPr>
          <w:rFonts w:hint="eastAsia" w:cs="楷体"/>
        </w:rPr>
      </w:pPr>
      <w:r>
        <w:rPr>
          <w:rFonts w:hint="eastAsia" w:cs="楷体"/>
        </w:rPr>
        <w:t xml:space="preserve">按照《中华人民共和国政府采购法》第二十二条及采购文件的规定，我单位郑重声明如下：</w:t>
      </w:r>
      <w:r/>
    </w:p>
    <w:p>
      <w:pPr>
        <w:ind w:firstLine="480"/>
        <w:spacing w:line="500" w:lineRule="exact"/>
        <w:rPr>
          <w:rFonts w:hint="eastAsia" w:cs="楷体"/>
        </w:rPr>
      </w:pPr>
      <w:r>
        <w:rPr>
          <w:rFonts w:hint="eastAsia" w:cs="楷体"/>
        </w:rPr>
        <w:t xml:space="preserve">一、我单位全称为</w:t>
      </w:r>
      <w:r>
        <w:rPr>
          <w:rFonts w:cs="楷体"/>
          <w:u w:val="single"/>
        </w:rPr>
        <w:t xml:space="preserve">                      </w:t>
      </w:r>
      <w:r>
        <w:rPr>
          <w:rFonts w:hint="eastAsia" w:cs="楷体"/>
        </w:rPr>
        <w:t xml:space="preserve">，注册地点为</w:t>
      </w:r>
      <w:r>
        <w:rPr>
          <w:rFonts w:cs="楷体"/>
          <w:u w:val="single"/>
        </w:rPr>
        <w:t xml:space="preserve">                        </w:t>
      </w:r>
      <w:r>
        <w:rPr>
          <w:rFonts w:hint="eastAsia" w:cs="楷体"/>
        </w:rPr>
        <w:t xml:space="preserve">，统一社会信用代码为</w:t>
      </w:r>
      <w:r>
        <w:rPr>
          <w:rFonts w:cs="楷体"/>
          <w:u w:val="single"/>
        </w:rPr>
        <w:t xml:space="preserve">                   </w:t>
      </w:r>
      <w:r>
        <w:rPr>
          <w:rFonts w:hint="eastAsia" w:cs="楷体"/>
        </w:rPr>
        <w:t xml:space="preserve">，法定代表人（单位负责人）为</w:t>
      </w:r>
      <w:r>
        <w:rPr>
          <w:rFonts w:cs="楷体"/>
          <w:u w:val="single"/>
        </w:rPr>
        <w:t xml:space="preserve">     </w:t>
      </w:r>
      <w:r>
        <w:rPr>
          <w:rFonts w:cs="楷体"/>
          <w:u w:val="single"/>
        </w:rPr>
        <w:t xml:space="preserve">           </w:t>
      </w:r>
      <w:r>
        <w:rPr>
          <w:rFonts w:cs="楷体"/>
          <w:u w:val="single"/>
        </w:rPr>
        <w:t xml:space="preserve">    </w:t>
      </w:r>
      <w:r>
        <w:rPr>
          <w:rFonts w:hint="eastAsia" w:cs="楷体"/>
        </w:rPr>
        <w:t xml:space="preserve">。</w:t>
      </w:r>
      <w:r>
        <w:rPr>
          <w:rFonts w:cs="楷体"/>
        </w:rPr>
        <w:t xml:space="preserve">        </w:t>
      </w:r>
      <w:r/>
    </w:p>
    <w:p>
      <w:pPr>
        <w:ind w:firstLine="480"/>
        <w:spacing w:line="500" w:lineRule="exact"/>
        <w:rPr>
          <w:rFonts w:hint="eastAsia" w:cs="楷体"/>
        </w:rPr>
      </w:pPr>
      <w:r>
        <w:rPr>
          <w:rFonts w:hint="eastAsia" w:cs="楷体"/>
        </w:rPr>
        <w:t xml:space="preserve">二、我单位具有独立承担民事责任的能力。</w:t>
      </w:r>
      <w:r/>
    </w:p>
    <w:p>
      <w:pPr>
        <w:ind w:firstLine="480"/>
        <w:spacing w:line="500" w:lineRule="exact"/>
        <w:rPr>
          <w:rFonts w:hint="eastAsia" w:cs="楷体"/>
        </w:rPr>
      </w:pPr>
      <w:r>
        <w:rPr>
          <w:rFonts w:hint="eastAsia" w:cs="楷体"/>
        </w:rPr>
        <w:t xml:space="preserve">三、我单位具有良好的商业信誉和健全的财务会计制度。</w:t>
      </w:r>
      <w:r/>
    </w:p>
    <w:p>
      <w:pPr>
        <w:ind w:firstLine="480"/>
        <w:spacing w:line="500" w:lineRule="exact"/>
        <w:rPr>
          <w:rFonts w:hint="eastAsia" w:cs="楷体"/>
        </w:rPr>
      </w:pPr>
      <w:r>
        <w:rPr>
          <w:rFonts w:hint="eastAsia" w:cs="楷体"/>
        </w:rPr>
        <w:t xml:space="preserve">四、我单位具有履行合同所必需的设备和专业技术能力。</w:t>
      </w:r>
      <w:r/>
    </w:p>
    <w:p>
      <w:pPr>
        <w:ind w:firstLine="480"/>
        <w:spacing w:line="500" w:lineRule="exact"/>
        <w:rPr>
          <w:rFonts w:hint="eastAsia" w:cs="楷体"/>
        </w:rPr>
      </w:pPr>
      <w:r>
        <w:rPr>
          <w:rFonts w:hint="eastAsia" w:cs="楷体"/>
        </w:rPr>
        <w:t xml:space="preserve">五、我单位有依法缴纳税收和社会保障资金的良好记录。</w:t>
      </w:r>
      <w:r/>
    </w:p>
    <w:p>
      <w:pPr>
        <w:ind w:firstLine="480"/>
        <w:spacing w:line="500" w:lineRule="exact"/>
        <w:rPr>
          <w:rFonts w:hint="eastAsia" w:cs="楷体"/>
        </w:rPr>
      </w:pPr>
      <w:r>
        <w:rPr>
          <w:rFonts w:hint="eastAsia" w:cs="楷体"/>
        </w:rPr>
        <w:t xml:space="preserve">六、我单位参加政府采购活动前三年内，在经营活动中没有重大违法记录。（重大违法记录，是指供应商因违法经营受到刑事处罚或者责令停产停业、吊销许可证或者执照、较大数额罚款等行政处罚。）</w:t>
      </w:r>
      <w:r/>
    </w:p>
    <w:p>
      <w:pPr>
        <w:ind w:firstLine="480"/>
        <w:spacing w:line="500" w:lineRule="exact"/>
        <w:rPr>
          <w:rFonts w:hint="eastAsia" w:cs="楷体"/>
        </w:rPr>
      </w:pPr>
      <w:r>
        <w:rPr>
          <w:rFonts w:hint="eastAsia" w:cs="楷体"/>
        </w:rPr>
        <w:t xml:space="preserve">七、我单位具备法律、行政法规规定的其他条件。</w:t>
      </w:r>
      <w:r/>
    </w:p>
    <w:p>
      <w:pPr>
        <w:ind w:firstLine="480"/>
        <w:spacing w:line="500" w:lineRule="exact"/>
        <w:rPr>
          <w:rFonts w:hint="eastAsia" w:cs="楷体"/>
        </w:rPr>
      </w:pPr>
      <w:r>
        <w:rPr>
          <w:rFonts w:hint="eastAsia" w:cs="楷体"/>
        </w:rPr>
        <w:t xml:space="preserve">我单位保证上述声明的事项都是真实的，如有虚假，我单位愿意承担相应的法律责任，并承担因此所造成的一切损失。</w:t>
      </w:r>
      <w:r/>
    </w:p>
    <w:p>
      <w:pPr>
        <w:ind w:firstLine="480"/>
        <w:spacing w:line="500" w:lineRule="exact"/>
        <w:rPr>
          <w:rFonts w:hint="eastAsia" w:cs="楷体"/>
        </w:rPr>
      </w:pPr>
      <w:r>
        <w:rPr>
          <w:rFonts w:hint="eastAsia" w:cs="楷体"/>
        </w:rPr>
      </w:r>
      <w:r/>
    </w:p>
    <w:p>
      <w:pPr>
        <w:pStyle w:val="1146"/>
        <w:ind w:firstLine="480"/>
        <w:rPr>
          <w:rFonts w:hint="eastAsia" w:ascii="宋体" w:hAnsi="宋体" w:eastAsia="宋体" w:cs="楷体"/>
          <w:sz w:val="24"/>
          <w:szCs w:val="24"/>
        </w:rPr>
      </w:pPr>
      <w:r>
        <w:rPr>
          <w:rFonts w:hint="eastAsia" w:ascii="宋体" w:hAnsi="宋体" w:eastAsia="宋体" w:cs="楷体"/>
          <w:sz w:val="24"/>
          <w:szCs w:val="24"/>
        </w:rPr>
      </w:r>
      <w:r/>
    </w:p>
    <w:p>
      <w:pPr>
        <w:ind w:firstLine="480"/>
        <w:jc w:val="center"/>
        <w:spacing w:line="500" w:lineRule="exact"/>
        <w:rPr>
          <w:rFonts w:hint="eastAsia" w:cs="楷体"/>
        </w:rPr>
      </w:pPr>
      <w:r>
        <w:rPr>
          <w:rFonts w:hint="eastAsia" w:cs="楷体"/>
        </w:rPr>
        <w:t xml:space="preserve"> </w:t>
      </w:r>
      <w:r>
        <w:rPr>
          <w:rFonts w:cs="楷体"/>
        </w:rPr>
        <w:t xml:space="preserve">           </w:t>
      </w:r>
      <w:r>
        <w:rPr>
          <w:rFonts w:hint="eastAsia"/>
          <w:bCs/>
        </w:rPr>
        <w:t xml:space="preserve">投标单位名称：</w:t>
      </w:r>
      <w:r>
        <w:rPr>
          <w:rFonts w:hint="eastAsia" w:cs="楷体"/>
        </w:rPr>
        <w:t xml:space="preserve">（加盖CA电子公章）</w:t>
      </w:r>
      <w:r/>
    </w:p>
    <w:p>
      <w:pPr>
        <w:ind w:firstLine="4320"/>
        <w:spacing w:line="400" w:lineRule="exact"/>
        <w:rPr>
          <w:rFonts w:hint="eastAsia" w:cs="楷体"/>
        </w:rPr>
      </w:pPr>
      <w:r>
        <w:rPr>
          <w:rFonts w:hint="eastAsia" w:cs="楷体"/>
        </w:rPr>
        <w:t xml:space="preserve">法定代表人（负责人）：</w:t>
      </w:r>
      <w:r/>
    </w:p>
    <w:p>
      <w:pPr>
        <w:ind w:firstLine="480"/>
        <w:jc w:val="center"/>
        <w:spacing w:line="500" w:lineRule="exact"/>
        <w:rPr>
          <w:rFonts w:hint="eastAsia" w:cs="楷体"/>
        </w:rPr>
      </w:pPr>
      <w:r>
        <w:rPr>
          <w:rFonts w:cs="楷体"/>
        </w:rPr>
        <w:t xml:space="preserve"> </w:t>
      </w:r>
      <w:r>
        <w:rPr>
          <w:rFonts w:cs="楷体"/>
        </w:rPr>
        <w:t xml:space="preserve"> </w:t>
      </w:r>
      <w:r>
        <w:rPr>
          <w:rFonts w:cs="楷体"/>
        </w:rPr>
        <w:t xml:space="preserve"> </w:t>
      </w:r>
      <w:r>
        <w:rPr>
          <w:rFonts w:cs="楷体"/>
        </w:rPr>
        <w:t xml:space="preserve">    </w:t>
      </w:r>
      <w:r>
        <w:rPr>
          <w:rFonts w:cs="楷体"/>
        </w:rPr>
        <w:t xml:space="preserve">     </w:t>
      </w:r>
      <w:r>
        <w:rPr>
          <w:rFonts w:hint="eastAsia" w:cs="楷体"/>
        </w:rPr>
        <w:t xml:space="preserve">日期：</w:t>
      </w:r>
      <w:r>
        <w:rPr>
          <w:rFonts w:cs="楷体"/>
        </w:rPr>
        <w:t xml:space="preserve">    </w:t>
      </w:r>
      <w:r>
        <w:rPr>
          <w:rFonts w:hint="eastAsia" w:cs="楷体"/>
        </w:rPr>
        <w:t xml:space="preserve">年</w:t>
      </w:r>
      <w:r>
        <w:rPr>
          <w:rFonts w:cs="楷体"/>
        </w:rPr>
        <w:t xml:space="preserve">   </w:t>
      </w:r>
      <w:r>
        <w:rPr>
          <w:rFonts w:hint="eastAsia" w:cs="楷体"/>
        </w:rPr>
        <w:t xml:space="preserve">月</w:t>
      </w:r>
      <w:r>
        <w:rPr>
          <w:rFonts w:cs="楷体"/>
        </w:rPr>
        <w:t xml:space="preserve">   </w:t>
      </w:r>
      <w:r>
        <w:rPr>
          <w:rFonts w:hint="eastAsia" w:cs="楷体"/>
        </w:rPr>
        <w:t xml:space="preserve">日</w:t>
      </w:r>
      <w:r/>
    </w:p>
    <w:p>
      <w:pPr>
        <w:spacing w:line="440" w:lineRule="exact"/>
        <w:rPr>
          <w:rFonts w:hint="eastAsia" w:cs="楷体"/>
        </w:rPr>
      </w:pPr>
      <w:r>
        <w:rPr>
          <w:rFonts w:hint="eastAsia" w:cs="楷体"/>
        </w:rPr>
      </w:r>
      <w:r/>
    </w:p>
    <w:p>
      <w:pPr>
        <w:spacing w:line="440" w:lineRule="exact"/>
        <w:rPr>
          <w:rFonts w:hint="eastAsia"/>
          <w:b/>
        </w:rPr>
      </w:pPr>
      <w:r>
        <w:rPr>
          <w:rFonts w:hint="eastAsia"/>
          <w:b/>
        </w:rPr>
      </w:r>
      <w:r/>
    </w:p>
    <w:p>
      <w:pPr>
        <w:spacing w:line="440" w:lineRule="exact"/>
        <w:rPr>
          <w:rFonts w:hint="eastAsia"/>
          <w:b/>
        </w:rPr>
      </w:pPr>
      <w:r>
        <w:rPr>
          <w:rFonts w:hint="eastAsia"/>
          <w:b/>
        </w:rPr>
      </w:r>
      <w:r/>
    </w:p>
    <w:p>
      <w:pPr>
        <w:pStyle w:val="907"/>
        <w:rPr>
          <w:rFonts w:hint="eastAsia" w:ascii="宋体" w:hAnsi="宋体"/>
          <w:color w:val="auto"/>
        </w:rPr>
      </w:pPr>
      <w:r>
        <w:rPr>
          <w:rFonts w:hint="eastAsia" w:ascii="宋体" w:hAnsi="宋体"/>
          <w:color w:val="auto"/>
        </w:rPr>
      </w:r>
      <w:r/>
    </w:p>
    <w:p>
      <w:pPr>
        <w:pStyle w:val="907"/>
        <w:rPr>
          <w:rFonts w:hint="eastAsia" w:ascii="宋体" w:hAnsi="宋体"/>
          <w:color w:val="auto"/>
        </w:rPr>
      </w:pPr>
      <w:r>
        <w:rPr>
          <w:rFonts w:hint="eastAsia" w:ascii="宋体" w:hAnsi="宋体"/>
          <w:color w:val="auto"/>
        </w:rPr>
      </w:r>
      <w:r/>
    </w:p>
    <w:p>
      <w:pPr>
        <w:pStyle w:val="907"/>
        <w:rPr>
          <w:rFonts w:hint="eastAsia" w:ascii="宋体" w:hAnsi="宋体"/>
          <w:color w:val="auto"/>
        </w:rPr>
      </w:pPr>
      <w:r>
        <w:rPr>
          <w:rFonts w:hint="eastAsia" w:ascii="宋体" w:hAnsi="宋体"/>
          <w:color w:val="auto"/>
        </w:rPr>
      </w:r>
      <w:r/>
    </w:p>
    <w:p>
      <w:pPr>
        <w:spacing w:line="440" w:lineRule="exact"/>
        <w:rPr>
          <w:rFonts w:hint="eastAsia"/>
          <w:b/>
        </w:rPr>
      </w:pPr>
      <w:r>
        <w:rPr>
          <w:rFonts w:hint="eastAsia"/>
          <w:b/>
        </w:rPr>
      </w:r>
      <w:r/>
    </w:p>
    <w:p>
      <w:pPr>
        <w:pStyle w:val="1148"/>
        <w:spacing w:after="120" w:line="360" w:lineRule="auto"/>
        <w:rPr>
          <w:rFonts w:hint="eastAsia" w:ascii="宋体" w:hAnsi="宋体" w:eastAsia="宋体"/>
          <w:b/>
          <w:color w:val="auto"/>
          <w:spacing w:val="20"/>
          <w:sz w:val="32"/>
          <w:szCs w:val="32"/>
          <w:lang w:val="en-US" w:eastAsia="zh-CN"/>
        </w:rPr>
      </w:pPr>
      <w:r>
        <w:rPr>
          <w:rFonts w:hint="eastAsia" w:ascii="宋体" w:hAnsi="宋体" w:eastAsia="宋体"/>
          <w:b/>
          <w:color w:val="auto"/>
          <w:spacing w:val="20"/>
          <w:sz w:val="32"/>
          <w:szCs w:val="32"/>
          <w:lang w:val="en-US" w:eastAsia="zh-CN"/>
        </w:rPr>
        <w:t xml:space="preserve">十</w:t>
      </w:r>
      <w:r>
        <w:rPr>
          <w:rFonts w:hint="eastAsia" w:ascii="宋体" w:hAnsi="宋体" w:eastAsia="宋体"/>
          <w:b/>
          <w:color w:val="auto"/>
          <w:spacing w:val="20"/>
          <w:sz w:val="32"/>
          <w:szCs w:val="32"/>
          <w:lang w:val="en-US" w:eastAsia="zh-CN"/>
        </w:rPr>
        <w:t xml:space="preserve">、政府采购供应商信用承诺书</w:t>
      </w:r>
      <w:r>
        <w:rPr>
          <w:rFonts w:ascii="宋体" w:hAnsi="宋体" w:eastAsia="宋体"/>
          <w:b/>
          <w:color w:val="auto"/>
          <w:spacing w:val="20"/>
          <w:sz w:val="32"/>
          <w:szCs w:val="32"/>
          <w:lang w:val="en-US" w:eastAsia="zh-CN"/>
        </w:rPr>
        <w:t xml:space="preserve">（实质性格式）</w:t>
      </w:r>
      <w:r/>
    </w:p>
    <w:p>
      <w:pPr>
        <w:ind w:firstLine="480"/>
        <w:spacing w:line="400" w:lineRule="exact"/>
        <w:rPr>
          <w:rFonts w:hint="eastAsia" w:cs="楷体"/>
        </w:rPr>
      </w:pPr>
      <w:r>
        <w:rPr>
          <w:rFonts w:hint="eastAsia" w:cs="楷体"/>
        </w:rPr>
        <w:t xml:space="preserve">为维护公开、公平、公正的政府采购市场秩序，树立诚实守信的供应商形象，本单位在参与政府采购活动中,自愿作出以下承诺：</w:t>
      </w:r>
      <w:r/>
    </w:p>
    <w:p>
      <w:pPr>
        <w:ind w:firstLine="480"/>
        <w:spacing w:line="400" w:lineRule="exact"/>
        <w:rPr>
          <w:rFonts w:hint="eastAsia" w:cs="楷体"/>
        </w:rPr>
      </w:pPr>
      <w:r>
        <w:rPr>
          <w:rFonts w:hint="eastAsia" w:cs="楷体"/>
        </w:rPr>
        <w:t xml:space="preserve">一、严格遵守国家法律、法规和规章，全面履行应尽的责任和义务，全面做到履约守信，具备《政府采购法》第二十二条第一款规定的条件。</w:t>
      </w:r>
      <w:r/>
    </w:p>
    <w:p>
      <w:pPr>
        <w:ind w:firstLine="480"/>
        <w:spacing w:line="400" w:lineRule="exact"/>
        <w:rPr>
          <w:rFonts w:hint="eastAsia" w:cs="楷体"/>
        </w:rPr>
      </w:pPr>
      <w:r>
        <w:rPr>
          <w:rFonts w:hint="eastAsia" w:cs="楷体"/>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400" w:lineRule="exact"/>
        <w:rPr>
          <w:rFonts w:hint="eastAsia" w:cs="楷体"/>
        </w:rPr>
      </w:pPr>
      <w:r>
        <w:rPr>
          <w:rFonts w:hint="eastAsia" w:cs="楷体"/>
        </w:rPr>
        <w:t xml:space="preserve">三、本单位提供给注册登记部门、行业管理部门、司法部门、行业组织以及在政府采购活动中提交的所有资料均合法、真实、有效，无任何伪造、修改、虚假成</w:t>
      </w:r>
      <w:r>
        <w:rPr>
          <w:rFonts w:hint="eastAsia" w:cs="楷体"/>
        </w:rPr>
        <w:t xml:space="preserve">分</w:t>
      </w:r>
      <w:r>
        <w:rPr>
          <w:rFonts w:hint="eastAsia" w:cs="楷体"/>
        </w:rPr>
        <w:t xml:space="preserve">，并对所提供资料的真实性负责。</w:t>
      </w:r>
      <w:r/>
    </w:p>
    <w:p>
      <w:pPr>
        <w:ind w:firstLine="480"/>
        <w:spacing w:line="400" w:lineRule="exact"/>
        <w:rPr>
          <w:rFonts w:hint="eastAsia" w:cs="楷体"/>
        </w:rPr>
      </w:pPr>
      <w:r>
        <w:rPr>
          <w:rFonts w:hint="eastAsia" w:cs="楷体"/>
        </w:rPr>
        <w:t xml:space="preserve">四、严格依法开展生产经营活动，主动接受行业监管，自愿接受依法开展的日常检查；违法失信经营后将自愿接受约束和惩戒，并依法承担相应责任。</w:t>
      </w:r>
      <w:r/>
    </w:p>
    <w:p>
      <w:pPr>
        <w:ind w:firstLine="480"/>
        <w:spacing w:line="400" w:lineRule="exact"/>
        <w:rPr>
          <w:rFonts w:hint="eastAsia" w:cs="楷体"/>
        </w:rPr>
      </w:pPr>
      <w:r>
        <w:rPr>
          <w:rFonts w:hint="eastAsia" w:cs="楷体"/>
        </w:rPr>
        <w:t xml:space="preserve">五、承诺本单位自觉接受行政管理部门、行业组织、社会公众、新闻舆论的监督。 </w:t>
      </w:r>
      <w:r/>
    </w:p>
    <w:p>
      <w:pPr>
        <w:ind w:firstLine="480"/>
        <w:spacing w:line="400" w:lineRule="exact"/>
        <w:rPr>
          <w:rFonts w:hint="eastAsia" w:cs="楷体"/>
        </w:rPr>
      </w:pPr>
      <w:r>
        <w:rPr>
          <w:rFonts w:hint="eastAsia" w:cs="楷体"/>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400" w:lineRule="exact"/>
        <w:rPr>
          <w:rFonts w:hint="eastAsia" w:cs="楷体"/>
        </w:rPr>
      </w:pPr>
      <w:r>
        <w:rPr>
          <w:rFonts w:hint="eastAsia" w:cs="楷体"/>
        </w:rPr>
        <w:t xml:space="preserve">七、承诺本单位在信用中国（江苏）网站中无违法违规、较重或严重失信记录。 </w:t>
      </w:r>
      <w:r/>
    </w:p>
    <w:p>
      <w:pPr>
        <w:ind w:firstLine="480"/>
        <w:spacing w:line="400" w:lineRule="exact"/>
        <w:rPr>
          <w:rFonts w:hint="eastAsia" w:cs="楷体"/>
        </w:rPr>
      </w:pPr>
      <w:r>
        <w:rPr>
          <w:rFonts w:hint="eastAsia" w:cs="楷体"/>
        </w:rPr>
        <w:t xml:space="preserve">八、承诺本单位提出政府采购质疑和投诉坚持依法依规、诚实信用原则。</w:t>
      </w:r>
      <w:r/>
    </w:p>
    <w:p>
      <w:pPr>
        <w:ind w:firstLine="480"/>
        <w:spacing w:line="400" w:lineRule="exact"/>
        <w:rPr>
          <w:rFonts w:hint="eastAsia" w:cs="楷体"/>
        </w:rPr>
      </w:pPr>
      <w:r>
        <w:rPr>
          <w:rFonts w:hint="eastAsia" w:cs="楷体"/>
        </w:rPr>
        <w:t xml:space="preserve">九、根据政府采购相关法律法规的规定需要作出的其他承诺。                                         </w:t>
      </w:r>
      <w:r/>
    </w:p>
    <w:p>
      <w:pPr>
        <w:ind w:firstLine="480"/>
        <w:spacing w:line="400" w:lineRule="exact"/>
        <w:rPr>
          <w:rFonts w:hint="eastAsia" w:cs="楷体"/>
        </w:rPr>
      </w:pPr>
      <w:r>
        <w:rPr>
          <w:rFonts w:hint="eastAsia" w:cs="楷体"/>
        </w:rPr>
        <w:t xml:space="preserve">十、承诺本单位若违背承诺约定，经查实，愿意接受行业主管部门和信用管理部门相应的规定处罚，承担违约责任，并依法承担相应的法律责任。</w:t>
      </w:r>
      <w:r/>
    </w:p>
    <w:p>
      <w:pPr>
        <w:ind w:firstLine="480"/>
        <w:spacing w:line="400" w:lineRule="exact"/>
        <w:rPr>
          <w:rFonts w:hint="eastAsia" w:cs="楷体"/>
        </w:rPr>
      </w:pPr>
      <w:r>
        <w:rPr>
          <w:rFonts w:hint="eastAsia" w:cs="楷体"/>
        </w:rPr>
        <w:t xml:space="preserve">十一、承诺本单位同意将以上承诺事项上网公示，违背承诺约定行为将作为失信信息，记录到常州市公共信用信息系统，并予以公开。</w:t>
      </w:r>
      <w:r/>
    </w:p>
    <w:p>
      <w:pPr>
        <w:ind w:firstLine="480"/>
        <w:spacing w:line="360" w:lineRule="auto"/>
        <w:rPr>
          <w:rFonts w:hint="eastAsia" w:cs="楷体"/>
        </w:rPr>
      </w:pPr>
      <w:r>
        <w:rPr>
          <w:rFonts w:hint="eastAsia" w:cs="楷体"/>
        </w:rPr>
      </w:r>
      <w:r/>
    </w:p>
    <w:p>
      <w:pPr>
        <w:ind w:firstLine="480"/>
        <w:spacing w:line="360" w:lineRule="auto"/>
        <w:rPr>
          <w:rFonts w:hint="eastAsia" w:cs="楷体"/>
        </w:rPr>
      </w:pPr>
      <w:r>
        <w:rPr>
          <w:rFonts w:hint="eastAsia" w:cs="楷体"/>
        </w:rPr>
      </w:r>
      <w:r/>
    </w:p>
    <w:p>
      <w:pPr>
        <w:ind w:firstLine="5040"/>
        <w:spacing w:line="400" w:lineRule="exact"/>
        <w:rPr>
          <w:rFonts w:hint="eastAsia" w:cs="楷体"/>
        </w:rPr>
      </w:pPr>
      <w:r>
        <w:rPr>
          <w:rFonts w:hint="eastAsia"/>
          <w:bCs/>
        </w:rPr>
        <w:t xml:space="preserve">投标单位名称：</w:t>
      </w:r>
      <w:r>
        <w:rPr>
          <w:rFonts w:hint="eastAsia" w:cs="楷体"/>
        </w:rPr>
        <w:t xml:space="preserve">（加盖CA电子公章）</w:t>
      </w:r>
      <w:r/>
    </w:p>
    <w:p>
      <w:pPr>
        <w:ind w:firstLine="5040"/>
        <w:spacing w:line="400" w:lineRule="exact"/>
        <w:rPr>
          <w:rFonts w:hint="eastAsia" w:cs="楷体"/>
        </w:rPr>
      </w:pPr>
      <w:r>
        <w:rPr>
          <w:rFonts w:hint="eastAsia" w:cs="楷体"/>
        </w:rPr>
        <w:t xml:space="preserve">法定代表人（负责人）：</w:t>
      </w:r>
      <w:r/>
    </w:p>
    <w:p>
      <w:pPr>
        <w:pStyle w:val="1143"/>
        <w:ind w:right="0" w:firstLine="5160"/>
        <w:jc w:val="both"/>
        <w:spacing w:line="400" w:lineRule="exact"/>
        <w:rPr>
          <w:rFonts w:hint="eastAsia" w:ascii="宋体" w:hAnsi="宋体" w:eastAsia="宋体" w:cs="楷体"/>
          <w:sz w:val="24"/>
          <w:szCs w:val="24"/>
        </w:rPr>
      </w:pPr>
      <w:r>
        <w:rPr>
          <w:rFonts w:hint="eastAsia" w:ascii="宋体" w:hAnsi="宋体" w:eastAsia="宋体" w:cs="楷体"/>
          <w:sz w:val="24"/>
          <w:szCs w:val="24"/>
        </w:rPr>
        <w:t xml:space="preserve">年   月   日</w:t>
      </w:r>
      <w:r/>
    </w:p>
    <w:p>
      <w:pPr>
        <w:pStyle w:val="1143"/>
        <w:ind w:right="0" w:firstLine="5160"/>
        <w:jc w:val="both"/>
        <w:spacing w:line="400" w:lineRule="exact"/>
        <w:rPr>
          <w:rFonts w:hint="eastAsia" w:ascii="宋体" w:hAnsi="宋体" w:eastAsia="宋体" w:cs="楷体"/>
          <w:sz w:val="24"/>
          <w:szCs w:val="24"/>
        </w:rPr>
      </w:pPr>
      <w:r>
        <w:rPr>
          <w:rFonts w:hint="eastAsia" w:ascii="宋体" w:hAnsi="宋体" w:eastAsia="宋体" w:cs="楷体"/>
          <w:sz w:val="24"/>
          <w:szCs w:val="24"/>
        </w:rPr>
      </w:r>
      <w:r/>
    </w:p>
    <w:p>
      <w:pPr>
        <w:pStyle w:val="1143"/>
        <w:ind w:right="0" w:firstLine="5160"/>
        <w:jc w:val="both"/>
        <w:spacing w:line="400" w:lineRule="exact"/>
        <w:rPr>
          <w:rFonts w:hint="eastAsia" w:ascii="宋体" w:hAnsi="宋体" w:eastAsia="宋体" w:cs="楷体"/>
          <w:sz w:val="24"/>
          <w:szCs w:val="24"/>
        </w:rPr>
      </w:pPr>
      <w:r>
        <w:rPr>
          <w:rFonts w:hint="eastAsia" w:ascii="宋体" w:hAnsi="宋体" w:eastAsia="宋体" w:cs="楷体"/>
          <w:sz w:val="24"/>
          <w:szCs w:val="24"/>
        </w:rPr>
      </w:r>
      <w:r/>
    </w:p>
    <w:p>
      <w:pPr>
        <w:pStyle w:val="1143"/>
        <w:ind w:right="0" w:firstLine="5160"/>
        <w:jc w:val="both"/>
        <w:spacing w:line="400" w:lineRule="exact"/>
        <w:rPr>
          <w:rFonts w:hint="eastAsia" w:ascii="宋体" w:hAnsi="宋体" w:eastAsia="宋体" w:cs="楷体"/>
          <w:sz w:val="24"/>
          <w:szCs w:val="24"/>
        </w:rPr>
      </w:pPr>
      <w:r>
        <w:rPr>
          <w:rFonts w:hint="eastAsia" w:ascii="宋体" w:hAnsi="宋体" w:eastAsia="宋体" w:cs="楷体"/>
          <w:sz w:val="24"/>
          <w:szCs w:val="24"/>
        </w:rPr>
      </w:r>
      <w:r/>
    </w:p>
    <w:p>
      <w:pPr>
        <w:pStyle w:val="1143"/>
        <w:ind w:right="0" w:firstLine="5160"/>
        <w:jc w:val="both"/>
        <w:spacing w:line="400" w:lineRule="exact"/>
        <w:rPr>
          <w:rFonts w:hint="eastAsia" w:ascii="宋体" w:hAnsi="宋体" w:eastAsia="宋体" w:cs="楷体"/>
          <w:sz w:val="24"/>
          <w:szCs w:val="24"/>
        </w:rPr>
      </w:pPr>
      <w:r>
        <w:rPr>
          <w:rFonts w:hint="eastAsia" w:ascii="宋体" w:hAnsi="宋体" w:eastAsia="宋体" w:cs="楷体"/>
          <w:sz w:val="24"/>
          <w:szCs w:val="24"/>
        </w:rPr>
      </w:r>
      <w:r/>
    </w:p>
    <w:p>
      <w:pPr>
        <w:ind w:firstLine="2168"/>
        <w:keepLines/>
        <w:keepNext/>
        <w:spacing w:after="240" w:line="360" w:lineRule="auto"/>
        <w:rPr>
          <w:rFonts w:hint="eastAsia"/>
          <w:b/>
          <w:spacing w:val="20"/>
          <w:sz w:val="32"/>
          <w:szCs w:val="32"/>
        </w:rPr>
        <w:outlineLvl w:val="0"/>
      </w:pPr>
      <w:r/>
      <w:bookmarkStart w:id="527" w:name="_Toc152683421"/>
      <w:r/>
      <w:bookmarkStart w:id="528" w:name="_Toc152683581"/>
      <w:r/>
      <w:bookmarkStart w:id="529" w:name="_Toc197636593"/>
      <w:r/>
      <w:bookmarkStart w:id="530" w:name="_Toc197636645"/>
      <w:r>
        <w:rPr>
          <w:rFonts w:hint="eastAsia"/>
          <w:b/>
          <w:spacing w:val="20"/>
          <w:sz w:val="32"/>
          <w:szCs w:val="32"/>
        </w:rPr>
        <w:t xml:space="preserve">十</w:t>
      </w:r>
      <w:r>
        <w:rPr>
          <w:rFonts w:hint="eastAsia"/>
          <w:b/>
          <w:spacing w:val="20"/>
          <w:sz w:val="32"/>
          <w:szCs w:val="32"/>
        </w:rPr>
        <w:t xml:space="preserve">一</w:t>
      </w:r>
      <w:r>
        <w:rPr>
          <w:rFonts w:hint="eastAsia"/>
          <w:b/>
          <w:spacing w:val="20"/>
          <w:sz w:val="32"/>
          <w:szCs w:val="32"/>
        </w:rPr>
        <w:t xml:space="preserve">、投标函</w:t>
      </w:r>
      <w:r>
        <w:rPr>
          <w:b/>
          <w:spacing w:val="20"/>
          <w:sz w:val="32"/>
          <w:szCs w:val="32"/>
        </w:rPr>
        <w:t xml:space="preserve">（实质性格式）</w:t>
      </w:r>
      <w:bookmarkEnd w:id="527"/>
      <w:r/>
      <w:bookmarkEnd w:id="528"/>
      <w:r/>
      <w:bookmarkEnd w:id="529"/>
      <w:r/>
      <w:bookmarkEnd w:id="530"/>
      <w:r/>
      <w:r/>
    </w:p>
    <w:p>
      <w:pPr>
        <w:spacing w:line="420" w:lineRule="exact"/>
        <w:rPr>
          <w:rFonts w:hint="eastAsia"/>
          <w:szCs w:val="21"/>
        </w:rPr>
      </w:pPr>
      <w:r>
        <w:rPr>
          <w:rFonts w:hint="eastAsia"/>
          <w:szCs w:val="21"/>
        </w:rPr>
        <w:t xml:space="preserve">致：</w:t>
      </w:r>
      <w:r>
        <w:rPr>
          <w:rFonts w:hint="eastAsia"/>
          <w:szCs w:val="21"/>
        </w:rPr>
        <w:t xml:space="preserve">常州新一诚项目管理有限公司</w:t>
      </w:r>
      <w:r/>
    </w:p>
    <w:p>
      <w:pPr>
        <w:ind w:firstLine="480"/>
        <w:spacing w:line="420" w:lineRule="exact"/>
        <w:rPr>
          <w:rFonts w:hint="eastAsia"/>
          <w:szCs w:val="21"/>
        </w:rPr>
      </w:pPr>
      <w:r>
        <w:rPr>
          <w:rFonts w:hint="eastAsia"/>
          <w:szCs w:val="21"/>
        </w:rPr>
        <w:t xml:space="preserve">根据贵方的</w:t>
      </w:r>
      <w:r>
        <w:rPr>
          <w:rFonts w:hint="eastAsia"/>
          <w:u w:val="single"/>
        </w:rPr>
        <w:t xml:space="preserve"> </w:t>
      </w:r>
      <w:r>
        <w:rPr>
          <w:u w:val="single"/>
        </w:rPr>
        <w:t xml:space="preserve">          </w:t>
      </w:r>
      <w:r>
        <w:rPr>
          <w:rFonts w:hint="eastAsia"/>
        </w:rPr>
        <w:t xml:space="preserve">（项目名称，项目编号/包号）</w:t>
      </w:r>
      <w:r>
        <w:rPr>
          <w:rFonts w:hint="eastAsia"/>
          <w:szCs w:val="21"/>
        </w:rPr>
        <w:t xml:space="preserve">招标文件，正式授权下述签字人_________________(姓名)代表我方______________（投标人的名称），全权处理本次项目投标的有关事宜。</w:t>
      </w:r>
      <w:r/>
    </w:p>
    <w:p>
      <w:pPr>
        <w:ind w:firstLine="480"/>
        <w:spacing w:line="420" w:lineRule="exact"/>
        <w:rPr>
          <w:rFonts w:hint="eastAsia"/>
          <w:szCs w:val="21"/>
        </w:rPr>
      </w:pPr>
      <w:r>
        <w:rPr>
          <w:rFonts w:hint="eastAsia"/>
          <w:szCs w:val="21"/>
        </w:rPr>
        <w:t xml:space="preserve">据此函，兹宣布同意如下：</w:t>
      </w:r>
      <w:r/>
    </w:p>
    <w:p>
      <w:pPr>
        <w:ind w:firstLine="480"/>
        <w:spacing w:line="420" w:lineRule="exact"/>
        <w:rPr>
          <w:rFonts w:hint="eastAsia"/>
          <w:szCs w:val="21"/>
        </w:rPr>
      </w:pPr>
      <w:r>
        <w:rPr>
          <w:rFonts w:hint="eastAsia"/>
          <w:szCs w:val="21"/>
        </w:rPr>
        <w:t xml:space="preserve">1.按招标文件规定的各项要求，向买方提供所需货物（包含与货物相关的服务）。</w:t>
      </w:r>
      <w:r/>
    </w:p>
    <w:p>
      <w:pPr>
        <w:ind w:firstLine="480"/>
        <w:spacing w:line="420" w:lineRule="exact"/>
        <w:rPr>
          <w:rFonts w:hint="eastAsia"/>
          <w:szCs w:val="21"/>
        </w:rPr>
      </w:pPr>
      <w:r>
        <w:rPr>
          <w:rFonts w:hint="eastAsia"/>
          <w:szCs w:val="21"/>
        </w:rPr>
        <w:t xml:space="preserve">2.我们完全理解贵方不一定将合同授予最低报价的投标人。</w:t>
      </w:r>
      <w:r/>
    </w:p>
    <w:p>
      <w:pPr>
        <w:ind w:firstLine="480"/>
        <w:spacing w:line="420" w:lineRule="exact"/>
        <w:rPr>
          <w:rFonts w:hint="eastAsia"/>
          <w:szCs w:val="21"/>
        </w:rPr>
      </w:pPr>
      <w:r>
        <w:rPr>
          <w:rFonts w:hint="eastAsia"/>
          <w:szCs w:val="21"/>
        </w:rPr>
        <w:t xml:space="preserve">3.我们已详细审核全部招标文件及其有效补充文件，我们知道必须放弃提出含糊不清或误解问题的权利。</w:t>
      </w:r>
      <w:r/>
    </w:p>
    <w:p>
      <w:pPr>
        <w:ind w:firstLine="480"/>
        <w:spacing w:line="420" w:lineRule="exact"/>
        <w:rPr>
          <w:rFonts w:hint="eastAsia"/>
          <w:szCs w:val="21"/>
        </w:rPr>
      </w:pPr>
      <w:r>
        <w:rPr>
          <w:rFonts w:hint="eastAsia"/>
          <w:szCs w:val="21"/>
        </w:rPr>
        <w:t xml:space="preserve">4.我们同意从规定的开标日期起遵循本投标文件，并在规定的投标有效期期满之前均具有约束力。</w:t>
      </w:r>
      <w:r/>
    </w:p>
    <w:p>
      <w:pPr>
        <w:ind w:firstLine="480"/>
        <w:spacing w:line="420" w:lineRule="exact"/>
        <w:rPr>
          <w:rFonts w:hint="eastAsia"/>
          <w:szCs w:val="21"/>
        </w:rPr>
      </w:pPr>
      <w:r>
        <w:rPr>
          <w:szCs w:val="21"/>
        </w:rPr>
        <w:t xml:space="preserve">5</w:t>
      </w:r>
      <w:r>
        <w:rPr>
          <w:rFonts w:hint="eastAsia"/>
          <w:szCs w:val="21"/>
        </w:rPr>
        <w:t xml:space="preserve">.同意向贵方提供贵方可能另外要求的与投标有关的任何证据或资料，并保证我方已提供和将要提供的文件是真实的、准确的。</w:t>
      </w:r>
      <w:r/>
    </w:p>
    <w:p>
      <w:pPr>
        <w:ind w:firstLine="480"/>
        <w:spacing w:line="420" w:lineRule="exact"/>
        <w:rPr>
          <w:rFonts w:hint="eastAsia"/>
          <w:szCs w:val="21"/>
        </w:rPr>
      </w:pPr>
      <w:r>
        <w:rPr>
          <w:szCs w:val="21"/>
        </w:rPr>
        <w:t xml:space="preserve">6</w:t>
      </w:r>
      <w:r>
        <w:rPr>
          <w:rFonts w:hint="eastAsia"/>
          <w:szCs w:val="21"/>
        </w:rPr>
        <w:t xml:space="preserve">.一旦我方中标,我方将根据招标文件的规定，严格履行合同的责任和义务,并保证在招标文件规定的时间完成项目，交付买方验收、使用。</w:t>
      </w:r>
      <w:r/>
    </w:p>
    <w:p>
      <w:pPr>
        <w:ind w:left="425"/>
        <w:spacing w:line="420" w:lineRule="exact"/>
        <w:rPr>
          <w:rFonts w:hint="eastAsia"/>
          <w:szCs w:val="21"/>
        </w:rPr>
      </w:pPr>
      <w:r>
        <w:rPr>
          <w:szCs w:val="21"/>
        </w:rPr>
        <w:t xml:space="preserve">7</w:t>
      </w:r>
      <w:r>
        <w:rPr>
          <w:rFonts w:hint="eastAsia"/>
          <w:szCs w:val="21"/>
        </w:rPr>
        <w:t xml:space="preserve">.与本投标有关的正式通讯地址为：</w:t>
      </w:r>
      <w:r/>
    </w:p>
    <w:p>
      <w:pPr>
        <w:ind w:left="480" w:firstLine="480"/>
        <w:spacing w:line="420" w:lineRule="exact"/>
        <w:rPr>
          <w:rFonts w:hint="eastAsia"/>
          <w:szCs w:val="21"/>
        </w:rPr>
      </w:pPr>
      <w:r>
        <w:rPr>
          <w:rFonts w:hint="eastAsia"/>
          <w:szCs w:val="21"/>
        </w:rPr>
        <w:t xml:space="preserve">地          址：</w:t>
      </w:r>
      <w:r/>
    </w:p>
    <w:p>
      <w:pPr>
        <w:ind w:left="480" w:firstLine="480"/>
        <w:spacing w:line="420" w:lineRule="exact"/>
        <w:rPr>
          <w:rFonts w:hint="eastAsia"/>
          <w:szCs w:val="21"/>
        </w:rPr>
      </w:pPr>
      <w:r>
        <w:rPr>
          <w:rFonts w:hint="eastAsia"/>
          <w:szCs w:val="21"/>
        </w:rPr>
        <w:t xml:space="preserve">邮          编：</w:t>
      </w:r>
      <w:r/>
    </w:p>
    <w:p>
      <w:pPr>
        <w:ind w:left="480" w:firstLine="480"/>
        <w:spacing w:line="420" w:lineRule="exact"/>
        <w:rPr>
          <w:rFonts w:hint="eastAsia"/>
          <w:szCs w:val="21"/>
        </w:rPr>
      </w:pPr>
      <w:r>
        <w:rPr>
          <w:rFonts w:hint="eastAsia"/>
          <w:szCs w:val="21"/>
        </w:rPr>
        <w:t xml:space="preserve">电          话：</w:t>
      </w:r>
      <w:r/>
    </w:p>
    <w:p>
      <w:pPr>
        <w:ind w:left="480" w:firstLine="480"/>
        <w:spacing w:line="420" w:lineRule="exact"/>
        <w:rPr>
          <w:rFonts w:hint="eastAsia"/>
          <w:szCs w:val="21"/>
        </w:rPr>
      </w:pPr>
      <w:r>
        <w:rPr>
          <w:rFonts w:hint="eastAsia"/>
          <w:szCs w:val="21"/>
        </w:rPr>
        <w:t xml:space="preserve">传          真：</w:t>
      </w:r>
      <w:r/>
    </w:p>
    <w:p>
      <w:pPr>
        <w:ind w:left="480" w:firstLine="480"/>
        <w:spacing w:line="420" w:lineRule="exact"/>
        <w:rPr>
          <w:rFonts w:hint="eastAsia"/>
          <w:szCs w:val="21"/>
        </w:rPr>
      </w:pPr>
      <w:r>
        <w:rPr>
          <w:rFonts w:hint="eastAsia"/>
          <w:szCs w:val="21"/>
        </w:rPr>
        <w:t xml:space="preserve">投标人开户行：</w:t>
      </w:r>
      <w:r/>
    </w:p>
    <w:p>
      <w:pPr>
        <w:ind w:left="480" w:firstLine="480"/>
        <w:spacing w:line="420" w:lineRule="exact"/>
        <w:rPr>
          <w:rFonts w:hint="eastAsia"/>
          <w:szCs w:val="21"/>
        </w:rPr>
      </w:pPr>
      <w:r>
        <w:rPr>
          <w:rFonts w:hint="eastAsia"/>
          <w:szCs w:val="21"/>
        </w:rPr>
        <w:t xml:space="preserve">账          号： </w:t>
      </w:r>
      <w:r/>
    </w:p>
    <w:p>
      <w:pPr>
        <w:pStyle w:val="907"/>
        <w:rPr>
          <w:rFonts w:hint="eastAsia" w:ascii="宋体" w:hAnsi="宋体"/>
          <w:color w:val="auto"/>
        </w:rPr>
      </w:pPr>
      <w:r>
        <w:rPr>
          <w:rFonts w:hint="eastAsia" w:ascii="宋体" w:hAnsi="宋体"/>
          <w:color w:val="auto"/>
        </w:rPr>
      </w:r>
      <w:r/>
    </w:p>
    <w:p>
      <w:pPr>
        <w:pStyle w:val="907"/>
        <w:rPr>
          <w:rFonts w:hint="eastAsia" w:ascii="宋体" w:hAnsi="宋体"/>
          <w:color w:val="auto"/>
        </w:rPr>
      </w:pPr>
      <w:r>
        <w:rPr>
          <w:rFonts w:hint="eastAsia" w:ascii="宋体" w:hAnsi="宋体"/>
          <w:color w:val="auto"/>
        </w:rPr>
      </w:r>
      <w:r/>
    </w:p>
    <w:p>
      <w:pPr>
        <w:pStyle w:val="907"/>
        <w:rPr>
          <w:rFonts w:hint="eastAsia" w:ascii="宋体" w:hAnsi="宋体"/>
          <w:color w:val="auto"/>
        </w:rPr>
      </w:pPr>
      <w:r>
        <w:rPr>
          <w:rFonts w:hint="eastAsia" w:ascii="宋体" w:hAnsi="宋体"/>
          <w:color w:val="auto"/>
        </w:rPr>
        <w:t xml:space="preserve"> </w:t>
      </w:r>
      <w:r>
        <w:rPr>
          <w:rFonts w:ascii="宋体" w:hAnsi="宋体"/>
          <w:color w:val="auto"/>
        </w:rPr>
        <w:t xml:space="preserve">                                                                          </w:t>
      </w:r>
      <w:bookmarkStart w:id="531" w:name="_Hlk149905800"/>
      <w:r>
        <w:rPr>
          <w:rFonts w:hint="eastAsia" w:ascii="宋体" w:hAnsi="宋体"/>
          <w:bCs/>
          <w:color w:val="auto"/>
        </w:rPr>
        <w:t xml:space="preserve">投标单位名称：</w:t>
      </w:r>
      <w:r>
        <w:rPr>
          <w:rFonts w:hint="eastAsia" w:ascii="宋体" w:hAnsi="宋体" w:cs="楷体"/>
          <w:color w:val="auto"/>
        </w:rPr>
        <w:t xml:space="preserve">（加盖CA电子公章）</w:t>
      </w:r>
      <w:bookmarkEnd w:id="531"/>
      <w:r/>
      <w:r/>
    </w:p>
    <w:p>
      <w:pPr>
        <w:ind w:left="480" w:firstLine="4560"/>
        <w:spacing w:line="420" w:lineRule="exact"/>
        <w:rPr>
          <w:rFonts w:hint="eastAsia"/>
          <w:szCs w:val="21"/>
        </w:rPr>
      </w:pPr>
      <w:r>
        <w:rPr>
          <w:rFonts w:hint="eastAsia"/>
          <w:szCs w:val="21"/>
        </w:rPr>
        <w:t xml:space="preserve">日期：________年____月____日</w:t>
      </w:r>
      <w:r/>
    </w:p>
    <w:p>
      <w:pPr>
        <w:pStyle w:val="927"/>
        <w:rPr>
          <w:rFonts w:hint="eastAsia"/>
          <w:sz w:val="20"/>
          <w:szCs w:val="20"/>
        </w:rPr>
      </w:pPr>
      <w:r>
        <w:rPr>
          <w:rFonts w:hint="eastAsia"/>
          <w:sz w:val="20"/>
          <w:szCs w:val="20"/>
        </w:rPr>
      </w:r>
      <w:r/>
    </w:p>
    <w:p>
      <w:pPr>
        <w:pStyle w:val="927"/>
        <w:rPr>
          <w:rFonts w:hint="eastAsia"/>
        </w:rPr>
      </w:pPr>
      <w:r>
        <w:rPr>
          <w:rFonts w:hint="eastAsia"/>
        </w:rPr>
      </w:r>
      <w:r/>
    </w:p>
    <w:p>
      <w:pPr>
        <w:pStyle w:val="927"/>
        <w:rPr>
          <w:rFonts w:hint="eastAsia"/>
        </w:rPr>
      </w:pPr>
      <w:r>
        <w:rPr>
          <w:rFonts w:hint="eastAsia"/>
        </w:rPr>
      </w:r>
      <w:r/>
    </w:p>
    <w:p>
      <w:pPr>
        <w:jc w:val="center"/>
        <w:rPr>
          <w:rFonts w:hint="eastAsia"/>
          <w:b/>
          <w:spacing w:val="20"/>
          <w:sz w:val="32"/>
          <w:szCs w:val="32"/>
        </w:rPr>
      </w:pPr>
      <w:r>
        <w:rPr>
          <w:rFonts w:hint="eastAsia"/>
          <w:b/>
          <w:spacing w:val="20"/>
          <w:sz w:val="32"/>
          <w:szCs w:val="32"/>
        </w:rPr>
      </w:r>
      <w:r/>
    </w:p>
    <w:p>
      <w:pPr>
        <w:ind w:firstLine="2168"/>
        <w:keepLines/>
        <w:keepNext/>
        <w:spacing w:after="240" w:line="360" w:lineRule="auto"/>
        <w:rPr>
          <w:rFonts w:hint="eastAsia"/>
          <w:b/>
          <w:spacing w:val="20"/>
          <w:sz w:val="32"/>
          <w:szCs w:val="32"/>
        </w:rPr>
        <w:outlineLvl w:val="0"/>
      </w:pPr>
      <w:r/>
      <w:bookmarkStart w:id="532" w:name="_Toc152683422"/>
      <w:r/>
      <w:bookmarkStart w:id="533" w:name="_Toc152683582"/>
      <w:r/>
      <w:bookmarkStart w:id="534" w:name="_Toc197636594"/>
      <w:r/>
      <w:bookmarkStart w:id="535" w:name="_Toc197636646"/>
      <w:r>
        <w:rPr>
          <w:rFonts w:hint="eastAsia"/>
          <w:b/>
          <w:spacing w:val="20"/>
          <w:sz w:val="32"/>
          <w:szCs w:val="32"/>
        </w:rPr>
        <w:t xml:space="preserve">十</w:t>
      </w:r>
      <w:r>
        <w:rPr>
          <w:rFonts w:hint="eastAsia"/>
          <w:b/>
          <w:spacing w:val="20"/>
          <w:sz w:val="32"/>
          <w:szCs w:val="32"/>
        </w:rPr>
        <w:t xml:space="preserve">二</w:t>
      </w:r>
      <w:r>
        <w:rPr>
          <w:rFonts w:hint="eastAsia"/>
          <w:b/>
          <w:spacing w:val="20"/>
          <w:sz w:val="32"/>
          <w:szCs w:val="32"/>
        </w:rPr>
        <w:t xml:space="preserve">、技术偏离表</w:t>
      </w:r>
      <w:r>
        <w:rPr>
          <w:b/>
          <w:spacing w:val="20"/>
          <w:sz w:val="32"/>
          <w:szCs w:val="32"/>
        </w:rPr>
        <w:t xml:space="preserve">（实质性格式）</w:t>
      </w:r>
      <w:bookmarkEnd w:id="532"/>
      <w:r/>
      <w:bookmarkEnd w:id="533"/>
      <w:r/>
      <w:bookmarkEnd w:id="534"/>
      <w:r/>
      <w:bookmarkEnd w:id="535"/>
      <w:r/>
      <w:r/>
    </w:p>
    <w:p>
      <w:pPr>
        <w:spacing w:line="360" w:lineRule="auto"/>
        <w:rPr>
          <w:rFonts w:hint="eastAsia"/>
          <w:sz w:val="20"/>
          <w:szCs w:val="21"/>
          <w:lang w:bidi="ar"/>
        </w:rPr>
      </w:pPr>
      <w:r>
        <w:rPr>
          <w:rFonts w:hint="eastAsia" w:cs="黑体"/>
          <w:bCs/>
          <w:lang w:bidi="ar"/>
        </w:rPr>
        <w:t xml:space="preserve">采购项目编号</w:t>
      </w:r>
      <w:r>
        <w:rPr>
          <w:rFonts w:hint="eastAsia" w:cs="黑体"/>
          <w:bCs/>
          <w:lang w:bidi="ar"/>
        </w:rPr>
        <w:t xml:space="preserve">/包号</w:t>
      </w:r>
      <w:r>
        <w:rPr>
          <w:rFonts w:hint="eastAsia" w:cs="黑体"/>
          <w:bCs/>
          <w:lang w:bidi="ar"/>
        </w:rPr>
        <w:t xml:space="preserve">：</w:t>
      </w:r>
      <w:r>
        <w:rPr>
          <w:rFonts w:hint="eastAsia"/>
          <w:sz w:val="20"/>
          <w:szCs w:val="21"/>
          <w:lang w:bidi="ar"/>
        </w:rPr>
        <w:t xml:space="preserve">       </w:t>
      </w:r>
      <w:r/>
    </w:p>
    <w:tbl>
      <w:tblPr>
        <w:tblpPr w:horzAnchor="page" w:tblpXSpec="center" w:vertAnchor="text" w:tblpY="396" w:leftFromText="180" w:topFromText="0" w:rightFromText="180" w:bottomFromText="0"/>
        <w:tblW w:w="996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8" w:type="dxa"/>
          <w:right w:w="28" w:type="dxa"/>
        </w:tblCellMar>
        <w:tblLook w:val="04A0" w:firstRow="1" w:lastRow="0" w:firstColumn="1" w:lastColumn="0" w:noHBand="0" w:noVBand="1"/>
      </w:tblPr>
      <w:tblGrid>
        <w:gridCol w:w="729"/>
        <w:gridCol w:w="2421"/>
        <w:gridCol w:w="1560"/>
        <w:gridCol w:w="1419"/>
        <w:gridCol w:w="2120"/>
        <w:gridCol w:w="1711"/>
      </w:tblGrid>
      <w:tr>
        <w:trPr>
          <w:trHeight w:val="567"/>
        </w:trPr>
        <w:tc>
          <w:tcPr>
            <w:tcW w:w="728" w:type="dxa"/>
            <w:vAlign w:val="center"/>
            <w:textDirection w:val="lrTb"/>
            <w:noWrap w:val="false"/>
          </w:tcPr>
          <w:p>
            <w:pPr>
              <w:jc w:val="center"/>
              <w:spacing w:line="360" w:lineRule="auto"/>
              <w:rPr>
                <w:rFonts w:hint="eastAsia" w:cs="黑体"/>
                <w:bCs/>
              </w:rPr>
            </w:pPr>
            <w:r>
              <w:rPr>
                <w:rFonts w:hint="eastAsia" w:cs="黑体"/>
                <w:bCs/>
              </w:rPr>
              <w:t xml:space="preserve">序号</w:t>
            </w:r>
            <w:r/>
          </w:p>
        </w:tc>
        <w:tc>
          <w:tcPr>
            <w:tcW w:w="2419" w:type="dxa"/>
            <w:vAlign w:val="center"/>
            <w:textDirection w:val="lrTb"/>
            <w:noWrap w:val="false"/>
          </w:tcPr>
          <w:p>
            <w:pPr>
              <w:ind w:firstLine="480"/>
              <w:spacing w:line="360" w:lineRule="auto"/>
              <w:rPr>
                <w:rFonts w:hint="eastAsia" w:cs="黑体"/>
                <w:bCs/>
              </w:rPr>
            </w:pPr>
            <w:r>
              <w:rPr>
                <w:rFonts w:hint="eastAsia" w:cs="黑体"/>
                <w:bCs/>
              </w:rPr>
              <w:t xml:space="preserve">名称及内容</w:t>
            </w:r>
            <w:r/>
          </w:p>
        </w:tc>
        <w:tc>
          <w:tcPr>
            <w:tcW w:w="1559" w:type="dxa"/>
            <w:vAlign w:val="center"/>
            <w:textDirection w:val="lrTb"/>
            <w:noWrap w:val="false"/>
          </w:tcPr>
          <w:p>
            <w:pPr>
              <w:jc w:val="center"/>
              <w:spacing w:line="360" w:lineRule="auto"/>
              <w:rPr>
                <w:rFonts w:hint="eastAsia" w:cs="黑体"/>
                <w:bCs/>
              </w:rPr>
            </w:pPr>
            <w:r>
              <w:rPr>
                <w:rFonts w:hint="eastAsia" w:cs="黑体"/>
                <w:bCs/>
              </w:rPr>
              <w:t xml:space="preserve">招标文件技术参数</w:t>
            </w:r>
            <w:r/>
          </w:p>
        </w:tc>
        <w:tc>
          <w:tcPr>
            <w:tcW w:w="1418" w:type="dxa"/>
            <w:vAlign w:val="center"/>
            <w:textDirection w:val="lrTb"/>
            <w:noWrap w:val="false"/>
          </w:tcPr>
          <w:p>
            <w:pPr>
              <w:jc w:val="center"/>
              <w:spacing w:line="360" w:lineRule="auto"/>
              <w:rPr>
                <w:rFonts w:hint="eastAsia" w:cs="黑体"/>
                <w:bCs/>
              </w:rPr>
            </w:pPr>
            <w:r>
              <w:rPr>
                <w:rFonts w:hint="eastAsia" w:cs="黑体"/>
                <w:bCs/>
              </w:rPr>
              <w:t xml:space="preserve">投标文件技术参数</w:t>
            </w:r>
            <w:r/>
          </w:p>
        </w:tc>
        <w:tc>
          <w:tcPr>
            <w:tcW w:w="2119" w:type="dxa"/>
            <w:vAlign w:val="center"/>
            <w:textDirection w:val="lrTb"/>
            <w:noWrap w:val="false"/>
          </w:tcPr>
          <w:p>
            <w:pPr>
              <w:ind w:firstLine="240"/>
              <w:spacing w:line="360" w:lineRule="auto"/>
              <w:rPr>
                <w:rFonts w:hint="eastAsia" w:cs="黑体"/>
                <w:bCs/>
              </w:rPr>
            </w:pPr>
            <w:r>
              <w:rPr>
                <w:rFonts w:hint="eastAsia" w:cs="黑体"/>
                <w:bCs/>
              </w:rPr>
              <w:t xml:space="preserve">证明材料</w:t>
            </w:r>
            <w:r/>
          </w:p>
        </w:tc>
        <w:tc>
          <w:tcPr>
            <w:tcW w:w="1710" w:type="dxa"/>
            <w:vAlign w:val="center"/>
            <w:textDirection w:val="lrTb"/>
            <w:noWrap w:val="false"/>
          </w:tcPr>
          <w:p>
            <w:pPr>
              <w:ind w:firstLine="480"/>
              <w:spacing w:line="360" w:lineRule="auto"/>
              <w:rPr>
                <w:rFonts w:hint="eastAsia" w:cs="黑体"/>
                <w:bCs/>
              </w:rPr>
            </w:pPr>
            <w:r>
              <w:rPr>
                <w:rFonts w:hint="eastAsia" w:cs="黑体"/>
                <w:bCs/>
              </w:rPr>
            </w:r>
            <w:r/>
          </w:p>
          <w:p>
            <w:pPr>
              <w:ind w:firstLine="240"/>
              <w:spacing w:line="360" w:lineRule="auto"/>
              <w:rPr>
                <w:rFonts w:hint="eastAsia" w:cs="黑体"/>
                <w:bCs/>
              </w:rPr>
            </w:pPr>
            <w:r>
              <w:rPr>
                <w:rFonts w:hint="eastAsia" w:cs="黑体"/>
                <w:bCs/>
              </w:rPr>
              <w:t xml:space="preserve">偏离情况</w:t>
            </w:r>
            <w:r/>
          </w:p>
          <w:p>
            <w:pPr>
              <w:spacing w:line="360" w:lineRule="auto"/>
              <w:rPr>
                <w:rFonts w:hint="eastAsia" w:cs="黑体"/>
                <w:bCs/>
              </w:rPr>
            </w:pPr>
            <w:r>
              <w:rPr>
                <w:rFonts w:hint="eastAsia" w:cs="黑体"/>
                <w:bCs/>
              </w:rPr>
            </w:r>
            <w:r/>
          </w:p>
        </w:tc>
      </w:tr>
      <w:tr>
        <w:trPr>
          <w:trHeight w:val="90"/>
        </w:trPr>
        <w:tc>
          <w:tcPr>
            <w:tcW w:w="728" w:type="dxa"/>
            <w:textDirection w:val="lrTb"/>
            <w:noWrap w:val="false"/>
          </w:tcPr>
          <w:p>
            <w:pPr>
              <w:ind w:firstLine="240"/>
              <w:spacing w:line="360" w:lineRule="auto"/>
              <w:rPr>
                <w:rFonts w:hint="eastAsia" w:cs="黑体"/>
                <w:bCs/>
              </w:rPr>
            </w:pPr>
            <w:r>
              <w:rPr>
                <w:rFonts w:hint="eastAsia" w:cs="黑体"/>
                <w:bCs/>
              </w:rPr>
              <w:t xml:space="preserve">1</w:t>
            </w:r>
            <w:r/>
          </w:p>
        </w:tc>
        <w:tc>
          <w:tcPr>
            <w:tcW w:w="2419" w:type="dxa"/>
            <w:textDirection w:val="lrTb"/>
            <w:noWrap w:val="false"/>
          </w:tcPr>
          <w:p>
            <w:pPr>
              <w:spacing w:line="360" w:lineRule="auto"/>
              <w:rPr>
                <w:rFonts w:hint="eastAsia" w:cs="黑体"/>
                <w:bCs/>
              </w:rPr>
            </w:pPr>
            <w:r>
              <w:rPr>
                <w:rFonts w:hint="eastAsia" w:cs="黑体"/>
                <w:bCs/>
              </w:rPr>
            </w:r>
            <w:r/>
          </w:p>
        </w:tc>
        <w:tc>
          <w:tcPr>
            <w:tcW w:w="1559" w:type="dxa"/>
            <w:textDirection w:val="lrTb"/>
            <w:noWrap w:val="false"/>
          </w:tcPr>
          <w:p>
            <w:pPr>
              <w:ind w:firstLine="240"/>
              <w:jc w:val="center"/>
              <w:spacing w:line="360" w:lineRule="auto"/>
              <w:rPr>
                <w:rFonts w:hint="eastAsia" w:cs="黑体"/>
                <w:bCs/>
              </w:rPr>
            </w:pPr>
            <w:r>
              <w:rPr>
                <w:rFonts w:hint="eastAsia" w:cs="黑体"/>
                <w:bCs/>
              </w:rPr>
            </w:r>
            <w:r/>
          </w:p>
        </w:tc>
        <w:tc>
          <w:tcPr>
            <w:tcW w:w="1418" w:type="dxa"/>
            <w:textDirection w:val="lrTb"/>
            <w:noWrap w:val="false"/>
          </w:tcPr>
          <w:p>
            <w:pPr>
              <w:ind w:firstLine="240"/>
              <w:jc w:val="center"/>
              <w:spacing w:line="360" w:lineRule="auto"/>
              <w:rPr>
                <w:rFonts w:hint="eastAsia" w:cs="黑体"/>
                <w:bCs/>
              </w:rPr>
            </w:pPr>
            <w:r>
              <w:rPr>
                <w:rFonts w:hint="eastAsia" w:cs="黑体"/>
                <w:bCs/>
              </w:rPr>
            </w:r>
            <w:r/>
          </w:p>
        </w:tc>
        <w:tc>
          <w:tcPr>
            <w:tcW w:w="2119" w:type="dxa"/>
            <w:textDirection w:val="lrTb"/>
            <w:noWrap w:val="false"/>
          </w:tcPr>
          <w:p>
            <w:pPr>
              <w:ind w:firstLine="240"/>
              <w:spacing w:line="360" w:lineRule="auto"/>
              <w:rPr>
                <w:rFonts w:hint="eastAsia" w:cs="黑体"/>
                <w:bCs/>
              </w:rPr>
            </w:pPr>
            <w:r>
              <w:rPr>
                <w:rFonts w:hint="eastAsia" w:cs="黑体"/>
                <w:bCs/>
              </w:rPr>
            </w:r>
            <w:r/>
          </w:p>
        </w:tc>
        <w:tc>
          <w:tcPr>
            <w:tcW w:w="1710" w:type="dxa"/>
            <w:textDirection w:val="lrTb"/>
            <w:noWrap w:val="false"/>
          </w:tcPr>
          <w:p>
            <w:pPr>
              <w:ind w:firstLine="240"/>
              <w:spacing w:line="360" w:lineRule="auto"/>
              <w:rPr>
                <w:rFonts w:hint="eastAsia" w:cs="黑体"/>
                <w:bCs/>
              </w:rPr>
            </w:pPr>
            <w:r>
              <w:rPr>
                <w:rFonts w:hint="eastAsia" w:cs="黑体"/>
                <w:bCs/>
              </w:rPr>
            </w:r>
            <w:r/>
          </w:p>
        </w:tc>
      </w:tr>
      <w:tr>
        <w:trPr/>
        <w:tc>
          <w:tcPr>
            <w:tcW w:w="728" w:type="dxa"/>
            <w:textDirection w:val="lrTb"/>
            <w:noWrap w:val="false"/>
          </w:tcPr>
          <w:p>
            <w:pPr>
              <w:ind w:firstLine="240"/>
              <w:spacing w:line="360" w:lineRule="auto"/>
              <w:rPr>
                <w:rFonts w:hint="eastAsia" w:cs="黑体"/>
                <w:bCs/>
              </w:rPr>
            </w:pPr>
            <w:r>
              <w:rPr>
                <w:rFonts w:hint="eastAsia" w:cs="黑体"/>
                <w:bCs/>
              </w:rPr>
              <w:t xml:space="preserve">2</w:t>
            </w:r>
            <w:r/>
          </w:p>
        </w:tc>
        <w:tc>
          <w:tcPr>
            <w:tcW w:w="2419" w:type="dxa"/>
            <w:textDirection w:val="lrTb"/>
            <w:noWrap w:val="false"/>
          </w:tcPr>
          <w:p>
            <w:pPr>
              <w:ind w:firstLine="240"/>
              <w:spacing w:line="360" w:lineRule="auto"/>
              <w:rPr>
                <w:rFonts w:hint="eastAsia" w:cs="黑体"/>
                <w:bCs/>
              </w:rPr>
            </w:pPr>
            <w:r>
              <w:rPr>
                <w:rFonts w:hint="eastAsia" w:cs="黑体"/>
                <w:bCs/>
              </w:rPr>
            </w:r>
            <w:r/>
          </w:p>
        </w:tc>
        <w:tc>
          <w:tcPr>
            <w:tcW w:w="1559" w:type="dxa"/>
            <w:textDirection w:val="lrTb"/>
            <w:noWrap w:val="false"/>
          </w:tcPr>
          <w:p>
            <w:pPr>
              <w:ind w:firstLine="240"/>
              <w:jc w:val="center"/>
              <w:spacing w:line="360" w:lineRule="auto"/>
              <w:rPr>
                <w:rFonts w:hint="eastAsia" w:cs="黑体"/>
                <w:bCs/>
              </w:rPr>
            </w:pPr>
            <w:r>
              <w:rPr>
                <w:rFonts w:hint="eastAsia" w:cs="黑体"/>
                <w:bCs/>
              </w:rPr>
            </w:r>
            <w:r/>
          </w:p>
        </w:tc>
        <w:tc>
          <w:tcPr>
            <w:tcW w:w="1418" w:type="dxa"/>
            <w:textDirection w:val="lrTb"/>
            <w:noWrap w:val="false"/>
          </w:tcPr>
          <w:p>
            <w:pPr>
              <w:ind w:firstLine="720"/>
              <w:jc w:val="center"/>
              <w:spacing w:line="360" w:lineRule="auto"/>
              <w:rPr>
                <w:rFonts w:hint="eastAsia" w:cs="黑体"/>
                <w:bCs/>
              </w:rPr>
            </w:pPr>
            <w:r>
              <w:rPr>
                <w:rFonts w:hint="eastAsia" w:cs="黑体"/>
                <w:bCs/>
              </w:rPr>
            </w:r>
            <w:r/>
          </w:p>
        </w:tc>
        <w:tc>
          <w:tcPr>
            <w:tcW w:w="2119" w:type="dxa"/>
            <w:textDirection w:val="lrTb"/>
            <w:noWrap w:val="false"/>
          </w:tcPr>
          <w:p>
            <w:pPr>
              <w:ind w:firstLine="240"/>
              <w:spacing w:line="360" w:lineRule="auto"/>
              <w:rPr>
                <w:rFonts w:hint="eastAsia" w:cs="黑体"/>
                <w:bCs/>
              </w:rPr>
            </w:pPr>
            <w:r>
              <w:rPr>
                <w:rFonts w:hint="eastAsia" w:cs="黑体"/>
                <w:bCs/>
              </w:rPr>
            </w:r>
            <w:r/>
          </w:p>
        </w:tc>
        <w:tc>
          <w:tcPr>
            <w:tcW w:w="1710" w:type="dxa"/>
            <w:textDirection w:val="lrTb"/>
            <w:noWrap w:val="false"/>
          </w:tcPr>
          <w:p>
            <w:pPr>
              <w:ind w:firstLine="240"/>
              <w:spacing w:line="360" w:lineRule="auto"/>
              <w:rPr>
                <w:rFonts w:hint="eastAsia" w:cs="黑体"/>
                <w:bCs/>
              </w:rPr>
            </w:pPr>
            <w:r>
              <w:rPr>
                <w:rFonts w:hint="eastAsia" w:cs="黑体"/>
                <w:bCs/>
              </w:rPr>
            </w:r>
            <w:r/>
          </w:p>
        </w:tc>
      </w:tr>
      <w:tr>
        <w:trPr/>
        <w:tc>
          <w:tcPr>
            <w:tcW w:w="728" w:type="dxa"/>
            <w:textDirection w:val="lrTb"/>
            <w:noWrap w:val="false"/>
          </w:tcPr>
          <w:p>
            <w:pPr>
              <w:ind w:firstLine="240"/>
              <w:spacing w:line="360" w:lineRule="auto"/>
              <w:rPr>
                <w:rFonts w:hint="eastAsia" w:cs="黑体"/>
                <w:bCs/>
              </w:rPr>
            </w:pPr>
            <w:r>
              <w:rPr>
                <w:rFonts w:hint="eastAsia" w:cs="黑体"/>
                <w:bCs/>
              </w:rPr>
              <w:t xml:space="preserve">3</w:t>
            </w:r>
            <w:r/>
          </w:p>
        </w:tc>
        <w:tc>
          <w:tcPr>
            <w:tcW w:w="2419" w:type="dxa"/>
            <w:textDirection w:val="lrTb"/>
            <w:noWrap w:val="false"/>
          </w:tcPr>
          <w:p>
            <w:pPr>
              <w:ind w:firstLine="240"/>
              <w:spacing w:line="360" w:lineRule="auto"/>
              <w:rPr>
                <w:rFonts w:hint="eastAsia" w:cs="黑体"/>
                <w:bCs/>
              </w:rPr>
            </w:pPr>
            <w:r>
              <w:rPr>
                <w:rFonts w:hint="eastAsia" w:cs="黑体"/>
                <w:bCs/>
              </w:rPr>
            </w:r>
            <w:r/>
          </w:p>
        </w:tc>
        <w:tc>
          <w:tcPr>
            <w:tcW w:w="1559" w:type="dxa"/>
            <w:textDirection w:val="lrTb"/>
            <w:noWrap w:val="false"/>
          </w:tcPr>
          <w:p>
            <w:pPr>
              <w:ind w:firstLine="240"/>
              <w:jc w:val="center"/>
              <w:spacing w:line="360" w:lineRule="auto"/>
              <w:rPr>
                <w:rFonts w:hint="eastAsia" w:cs="黑体"/>
                <w:bCs/>
              </w:rPr>
            </w:pPr>
            <w:r>
              <w:rPr>
                <w:rFonts w:hint="eastAsia" w:cs="黑体"/>
                <w:bCs/>
              </w:rPr>
            </w:r>
            <w:r/>
          </w:p>
        </w:tc>
        <w:tc>
          <w:tcPr>
            <w:tcW w:w="1418" w:type="dxa"/>
            <w:textDirection w:val="lrTb"/>
            <w:noWrap w:val="false"/>
          </w:tcPr>
          <w:p>
            <w:pPr>
              <w:ind w:firstLine="720"/>
              <w:jc w:val="center"/>
              <w:spacing w:line="360" w:lineRule="auto"/>
              <w:rPr>
                <w:rFonts w:hint="eastAsia" w:cs="黑体"/>
                <w:bCs/>
              </w:rPr>
            </w:pPr>
            <w:r>
              <w:rPr>
                <w:rFonts w:hint="eastAsia" w:cs="黑体"/>
                <w:bCs/>
              </w:rPr>
            </w:r>
            <w:r/>
          </w:p>
        </w:tc>
        <w:tc>
          <w:tcPr>
            <w:tcW w:w="2119" w:type="dxa"/>
            <w:textDirection w:val="lrTb"/>
            <w:noWrap w:val="false"/>
          </w:tcPr>
          <w:p>
            <w:pPr>
              <w:ind w:firstLine="240"/>
              <w:spacing w:line="360" w:lineRule="auto"/>
              <w:rPr>
                <w:rFonts w:hint="eastAsia" w:cs="黑体"/>
                <w:bCs/>
              </w:rPr>
            </w:pPr>
            <w:r>
              <w:rPr>
                <w:rFonts w:hint="eastAsia" w:cs="黑体"/>
                <w:bCs/>
              </w:rPr>
            </w:r>
            <w:r/>
          </w:p>
        </w:tc>
        <w:tc>
          <w:tcPr>
            <w:tcW w:w="1710" w:type="dxa"/>
            <w:textDirection w:val="lrTb"/>
            <w:noWrap w:val="false"/>
          </w:tcPr>
          <w:p>
            <w:pPr>
              <w:ind w:firstLine="240"/>
              <w:spacing w:line="360" w:lineRule="auto"/>
              <w:rPr>
                <w:rFonts w:hint="eastAsia" w:cs="黑体"/>
                <w:bCs/>
              </w:rPr>
            </w:pPr>
            <w:r>
              <w:rPr>
                <w:rFonts w:hint="eastAsia" w:cs="黑体"/>
                <w:bCs/>
              </w:rPr>
            </w:r>
            <w:r/>
          </w:p>
        </w:tc>
      </w:tr>
      <w:tr>
        <w:trPr>
          <w:trHeight w:val="65"/>
        </w:trPr>
        <w:tc>
          <w:tcPr>
            <w:tcW w:w="728" w:type="dxa"/>
            <w:textDirection w:val="lrTb"/>
            <w:noWrap w:val="false"/>
          </w:tcPr>
          <w:p>
            <w:pPr>
              <w:ind w:firstLine="240"/>
              <w:spacing w:line="360" w:lineRule="auto"/>
              <w:rPr>
                <w:rFonts w:hint="eastAsia" w:cs="黑体"/>
                <w:bCs/>
              </w:rPr>
            </w:pPr>
            <w:r>
              <w:rPr>
                <w:rFonts w:hint="eastAsia" w:cs="黑体"/>
                <w:bCs/>
              </w:rPr>
              <w:t xml:space="preserve">…</w:t>
            </w:r>
            <w:r/>
          </w:p>
        </w:tc>
        <w:tc>
          <w:tcPr>
            <w:tcW w:w="2419" w:type="dxa"/>
            <w:textDirection w:val="lrTb"/>
            <w:noWrap w:val="false"/>
          </w:tcPr>
          <w:p>
            <w:pPr>
              <w:ind w:firstLine="240"/>
              <w:spacing w:line="360" w:lineRule="auto"/>
              <w:rPr>
                <w:rFonts w:hint="eastAsia" w:cs="黑体"/>
                <w:bCs/>
              </w:rPr>
            </w:pPr>
            <w:r>
              <w:rPr>
                <w:rFonts w:hint="eastAsia" w:cs="黑体"/>
                <w:bCs/>
              </w:rPr>
            </w:r>
            <w:r/>
          </w:p>
        </w:tc>
        <w:tc>
          <w:tcPr>
            <w:tcW w:w="1559" w:type="dxa"/>
            <w:textDirection w:val="lrTb"/>
            <w:noWrap w:val="false"/>
          </w:tcPr>
          <w:p>
            <w:pPr>
              <w:ind w:firstLine="240"/>
              <w:jc w:val="center"/>
              <w:spacing w:line="360" w:lineRule="auto"/>
              <w:rPr>
                <w:rFonts w:hint="eastAsia" w:cs="黑体"/>
                <w:bCs/>
              </w:rPr>
            </w:pPr>
            <w:r>
              <w:rPr>
                <w:rFonts w:hint="eastAsia" w:cs="黑体"/>
                <w:bCs/>
              </w:rPr>
            </w:r>
            <w:r/>
          </w:p>
        </w:tc>
        <w:tc>
          <w:tcPr>
            <w:tcW w:w="1418" w:type="dxa"/>
            <w:textDirection w:val="lrTb"/>
            <w:noWrap w:val="false"/>
          </w:tcPr>
          <w:p>
            <w:pPr>
              <w:ind w:firstLine="240"/>
              <w:jc w:val="center"/>
              <w:spacing w:line="360" w:lineRule="auto"/>
              <w:rPr>
                <w:rFonts w:hint="eastAsia" w:cs="黑体"/>
                <w:bCs/>
              </w:rPr>
            </w:pPr>
            <w:r>
              <w:rPr>
                <w:rFonts w:hint="eastAsia" w:cs="黑体"/>
                <w:bCs/>
              </w:rPr>
            </w:r>
            <w:r/>
          </w:p>
        </w:tc>
        <w:tc>
          <w:tcPr>
            <w:tcW w:w="2119" w:type="dxa"/>
            <w:textDirection w:val="lrTb"/>
            <w:noWrap w:val="false"/>
          </w:tcPr>
          <w:p>
            <w:pPr>
              <w:ind w:firstLine="240"/>
              <w:spacing w:line="360" w:lineRule="auto"/>
              <w:rPr>
                <w:rFonts w:hint="eastAsia" w:cs="黑体"/>
                <w:bCs/>
              </w:rPr>
            </w:pPr>
            <w:r>
              <w:rPr>
                <w:rFonts w:hint="eastAsia" w:cs="黑体"/>
                <w:bCs/>
              </w:rPr>
            </w:r>
            <w:r/>
          </w:p>
        </w:tc>
        <w:tc>
          <w:tcPr>
            <w:tcW w:w="1710" w:type="dxa"/>
            <w:textDirection w:val="lrTb"/>
            <w:noWrap w:val="false"/>
          </w:tcPr>
          <w:p>
            <w:pPr>
              <w:ind w:firstLine="240"/>
              <w:spacing w:line="360" w:lineRule="auto"/>
              <w:rPr>
                <w:rFonts w:hint="eastAsia" w:cs="黑体"/>
                <w:bCs/>
              </w:rPr>
            </w:pPr>
            <w:r>
              <w:rPr>
                <w:rFonts w:hint="eastAsia" w:cs="黑体"/>
                <w:bCs/>
              </w:rPr>
            </w:r>
            <w:r/>
          </w:p>
        </w:tc>
      </w:tr>
    </w:tbl>
    <w:p>
      <w:pPr>
        <w:spacing w:line="360" w:lineRule="auto"/>
        <w:rPr>
          <w:rFonts w:hint="eastAsia"/>
          <w:sz w:val="20"/>
          <w:szCs w:val="21"/>
        </w:rPr>
      </w:pPr>
      <w:r>
        <w:rPr>
          <w:rFonts w:hint="eastAsia"/>
          <w:sz w:val="20"/>
          <w:szCs w:val="21"/>
        </w:rPr>
        <w:t xml:space="preserve">                                                                                                                                                                                    </w:t>
      </w:r>
      <w:r/>
    </w:p>
    <w:p>
      <w:pPr>
        <w:ind w:firstLine="4440"/>
        <w:spacing w:line="360" w:lineRule="auto"/>
        <w:rPr>
          <w:rFonts w:hint="eastAsia" w:cs="黑体"/>
          <w:bCs/>
          <w:lang w:bidi="ar"/>
        </w:rPr>
      </w:pPr>
      <w:r>
        <w:rPr>
          <w:rFonts w:hint="eastAsia" w:cs="黑体"/>
          <w:bCs/>
          <w:lang w:bidi="ar"/>
        </w:rPr>
      </w:r>
      <w:r/>
    </w:p>
    <w:p>
      <w:pPr>
        <w:ind w:firstLine="4680"/>
        <w:spacing w:line="360" w:lineRule="auto"/>
        <w:rPr>
          <w:rFonts w:hint="eastAsia" w:cs="黑体"/>
          <w:bCs/>
          <w:lang w:bidi="ar"/>
        </w:rPr>
      </w:pPr>
      <w:r>
        <w:rPr>
          <w:rFonts w:hint="eastAsia"/>
          <w:bCs/>
        </w:rPr>
        <w:t xml:space="preserve">投标单位名称：</w:t>
      </w:r>
      <w:r>
        <w:rPr>
          <w:rFonts w:hint="eastAsia" w:cs="楷体"/>
        </w:rPr>
        <w:t xml:space="preserve">（加盖CA电子公章）</w:t>
      </w:r>
      <w:r>
        <w:rPr>
          <w:rFonts w:hint="eastAsia" w:cs="黑体"/>
          <w:bCs/>
          <w:lang w:bidi="ar"/>
        </w:rPr>
        <w:t xml:space="preserve">  </w:t>
      </w:r>
      <w:r/>
    </w:p>
    <w:p>
      <w:pPr>
        <w:pStyle w:val="907"/>
        <w:ind w:firstLine="4800"/>
        <w:rPr>
          <w:rFonts w:hint="eastAsia" w:ascii="宋体" w:hAnsi="宋体"/>
          <w:color w:val="auto"/>
          <w:lang w:bidi="ar"/>
        </w:rPr>
      </w:pPr>
      <w:r>
        <w:rPr>
          <w:rFonts w:ascii="宋体" w:hAnsi="宋体" w:cs="黑体"/>
          <w:bCs/>
          <w:color w:val="auto"/>
          <w:lang w:bidi="ar"/>
        </w:rPr>
        <w:t xml:space="preserve">日期：_____年______月______日</w:t>
      </w:r>
      <w:r/>
    </w:p>
    <w:p>
      <w:pPr>
        <w:spacing w:line="360" w:lineRule="auto"/>
        <w:rPr>
          <w:rFonts w:hint="eastAsia"/>
          <w:b/>
          <w:szCs w:val="20"/>
        </w:rPr>
      </w:pPr>
      <w:r>
        <w:rPr>
          <w:rFonts w:hint="eastAsia"/>
          <w:b/>
          <w:szCs w:val="20"/>
        </w:rPr>
        <w:t xml:space="preserve">注意事项：</w:t>
      </w:r>
      <w:r/>
    </w:p>
    <w:p>
      <w:pPr>
        <w:numPr>
          <w:ilvl w:val="0"/>
          <w:numId w:val="11"/>
        </w:numPr>
        <w:ind w:firstLine="482"/>
        <w:spacing w:line="440" w:lineRule="exact"/>
        <w:rPr>
          <w:rFonts w:hint="eastAsia"/>
          <w:b/>
          <w:bCs/>
        </w:rPr>
      </w:pPr>
      <w:r>
        <w:rPr>
          <w:rFonts w:hint="eastAsia"/>
          <w:b/>
          <w:bCs/>
        </w:rPr>
        <w:t xml:space="preserve">请按上表格式，依照采购文件项目要求相应内容逐项响应。</w:t>
      </w:r>
      <w:r/>
    </w:p>
    <w:p>
      <w:pPr>
        <w:ind w:firstLine="482"/>
        <w:spacing w:line="440" w:lineRule="exact"/>
        <w:rPr>
          <w:rFonts w:hint="eastAsia"/>
          <w:b/>
          <w:bCs/>
        </w:rPr>
      </w:pPr>
      <w:r>
        <w:rPr>
          <w:rFonts w:hint="eastAsia"/>
          <w:b/>
          <w:bCs/>
        </w:rPr>
        <w:t xml:space="preserve">2、如根据采购文件要求需提供“证明材料”的，需填写证明材料名称；采购文件未要求提供“证明材料”的，可不填写。</w:t>
      </w:r>
      <w:r/>
    </w:p>
    <w:p>
      <w:pPr>
        <w:ind w:firstLine="482"/>
        <w:spacing w:line="440" w:lineRule="exact"/>
        <w:rPr>
          <w:rFonts w:hint="eastAsia"/>
          <w:b/>
          <w:bCs/>
        </w:rPr>
      </w:pPr>
      <w:r>
        <w:rPr>
          <w:rFonts w:hint="eastAsia"/>
          <w:b/>
          <w:bCs/>
        </w:rPr>
        <w:t xml:space="preserve">3、如投标人提供的货物或服务与招标文件的要求存在偏离，偏离情况可填写“正偏离”或“负偏离”；如完全满足招标文件要求，偏离情况填写“完全满足”即可。</w:t>
      </w:r>
      <w:r/>
    </w:p>
    <w:p>
      <w:pPr>
        <w:spacing w:line="360" w:lineRule="auto"/>
        <w:rPr>
          <w:rFonts w:hint="eastAsia"/>
          <w:sz w:val="20"/>
          <w:szCs w:val="20"/>
        </w:rPr>
      </w:pPr>
      <w:r>
        <w:rPr>
          <w:rFonts w:hint="eastAsia"/>
          <w:sz w:val="20"/>
          <w:szCs w:val="20"/>
        </w:rPr>
      </w:r>
      <w:r/>
    </w:p>
    <w:p>
      <w:pPr>
        <w:spacing w:line="360" w:lineRule="auto"/>
        <w:rPr>
          <w:rFonts w:hint="eastAsia"/>
          <w:sz w:val="20"/>
          <w:szCs w:val="20"/>
        </w:rPr>
      </w:pPr>
      <w:r>
        <w:rPr>
          <w:sz w:val="20"/>
          <w:szCs w:val="20"/>
        </w:rPr>
        <w:t xml:space="preserve">                      </w:t>
      </w:r>
      <w:r/>
    </w:p>
    <w:p>
      <w:pPr>
        <w:spacing w:line="360" w:lineRule="auto"/>
        <w:rPr>
          <w:rFonts w:hint="eastAsia"/>
          <w:sz w:val="20"/>
          <w:szCs w:val="20"/>
        </w:rPr>
      </w:pPr>
      <w:r>
        <w:rPr>
          <w:rFonts w:hint="eastAsia"/>
          <w:sz w:val="20"/>
          <w:szCs w:val="20"/>
        </w:rPr>
      </w:r>
      <w:r/>
    </w:p>
    <w:p>
      <w:pPr>
        <w:spacing w:line="360" w:lineRule="auto"/>
        <w:rPr>
          <w:rFonts w:hint="eastAsia"/>
          <w:sz w:val="20"/>
          <w:szCs w:val="20"/>
        </w:rPr>
      </w:pPr>
      <w:r>
        <w:rPr>
          <w:rFonts w:hint="eastAsia"/>
          <w:sz w:val="20"/>
          <w:szCs w:val="20"/>
        </w:rPr>
      </w:r>
      <w:r/>
    </w:p>
    <w:p>
      <w:pPr>
        <w:spacing w:line="360" w:lineRule="auto"/>
        <w:rPr>
          <w:rFonts w:hint="eastAsia"/>
          <w:sz w:val="20"/>
          <w:szCs w:val="20"/>
        </w:rPr>
      </w:pPr>
      <w:r>
        <w:rPr>
          <w:rFonts w:hint="eastAsia"/>
          <w:sz w:val="20"/>
          <w:szCs w:val="20"/>
        </w:rPr>
      </w:r>
      <w:r/>
    </w:p>
    <w:p>
      <w:pPr>
        <w:spacing w:line="360" w:lineRule="auto"/>
        <w:rPr>
          <w:rFonts w:hint="eastAsia"/>
          <w:sz w:val="20"/>
          <w:szCs w:val="20"/>
        </w:rPr>
      </w:pPr>
      <w:r>
        <w:rPr>
          <w:rFonts w:hint="eastAsia"/>
          <w:sz w:val="20"/>
          <w:szCs w:val="20"/>
        </w:rPr>
      </w:r>
      <w:r/>
    </w:p>
    <w:p>
      <w:pPr>
        <w:pStyle w:val="907"/>
        <w:rPr>
          <w:rFonts w:hint="eastAsia"/>
          <w:color w:val="auto"/>
        </w:rPr>
      </w:pPr>
      <w:r>
        <w:rPr>
          <w:rFonts w:hint="eastAsia"/>
          <w:color w:val="auto"/>
        </w:rPr>
      </w:r>
      <w:r/>
    </w:p>
    <w:p>
      <w:pPr>
        <w:pStyle w:val="907"/>
        <w:rPr>
          <w:rFonts w:hint="eastAsia"/>
          <w:color w:val="auto"/>
        </w:rPr>
      </w:pPr>
      <w:r>
        <w:rPr>
          <w:rFonts w:hint="eastAsia"/>
          <w:color w:val="auto"/>
        </w:rPr>
      </w:r>
      <w:r/>
    </w:p>
    <w:p>
      <w:pPr>
        <w:pStyle w:val="907"/>
        <w:rPr>
          <w:rFonts w:hint="eastAsia"/>
          <w:color w:val="auto"/>
        </w:rPr>
      </w:pPr>
      <w:r>
        <w:rPr>
          <w:rFonts w:hint="eastAsia"/>
          <w:color w:val="auto"/>
        </w:rPr>
      </w:r>
      <w:r/>
    </w:p>
    <w:p>
      <w:pPr>
        <w:pStyle w:val="907"/>
        <w:rPr>
          <w:rFonts w:hint="eastAsia"/>
          <w:color w:val="auto"/>
        </w:rPr>
      </w:pPr>
      <w:r>
        <w:rPr>
          <w:rFonts w:hint="eastAsia"/>
          <w:color w:val="auto"/>
        </w:rPr>
      </w:r>
      <w:r/>
    </w:p>
    <w:p>
      <w:pPr>
        <w:pStyle w:val="907"/>
        <w:rPr>
          <w:rFonts w:hint="eastAsia"/>
          <w:color w:val="auto"/>
        </w:rPr>
      </w:pPr>
      <w:r>
        <w:rPr>
          <w:rFonts w:hint="eastAsia"/>
          <w:color w:val="auto"/>
        </w:rPr>
      </w:r>
      <w:r/>
    </w:p>
    <w:p>
      <w:pPr>
        <w:pStyle w:val="907"/>
        <w:rPr>
          <w:rFonts w:hint="eastAsia"/>
          <w:color w:val="auto"/>
        </w:rPr>
      </w:pPr>
      <w:r>
        <w:rPr>
          <w:rFonts w:hint="eastAsia"/>
          <w:color w:val="auto"/>
        </w:rPr>
      </w:r>
      <w:r/>
    </w:p>
    <w:p>
      <w:pPr>
        <w:pStyle w:val="907"/>
        <w:rPr>
          <w:rFonts w:hint="eastAsia"/>
          <w:color w:val="auto"/>
        </w:rPr>
      </w:pPr>
      <w:r>
        <w:rPr>
          <w:rFonts w:hint="eastAsia"/>
          <w:color w:val="auto"/>
        </w:rPr>
      </w:r>
      <w:r/>
    </w:p>
    <w:p>
      <w:pPr>
        <w:pStyle w:val="907"/>
        <w:rPr>
          <w:rFonts w:hint="eastAsia"/>
          <w:color w:val="auto"/>
        </w:rPr>
      </w:pPr>
      <w:r>
        <w:rPr>
          <w:rFonts w:hint="eastAsia"/>
          <w:color w:val="auto"/>
        </w:rPr>
      </w:r>
      <w:r/>
    </w:p>
    <w:p>
      <w:pPr>
        <w:jc w:val="center"/>
        <w:spacing w:line="400" w:lineRule="exact"/>
        <w:rPr>
          <w:rFonts w:hint="eastAsia"/>
          <w:b/>
          <w:spacing w:val="20"/>
          <w:sz w:val="32"/>
          <w:szCs w:val="32"/>
        </w:rPr>
        <w:outlineLvl w:val="1"/>
      </w:pPr>
      <w:r>
        <w:rPr>
          <w:rFonts w:hint="eastAsia"/>
          <w:b/>
          <w:spacing w:val="20"/>
          <w:sz w:val="32"/>
          <w:szCs w:val="32"/>
        </w:rPr>
        <w:t xml:space="preserve">十三、响应承诺函（实质性条款）</w:t>
      </w:r>
      <w:r/>
    </w:p>
    <w:p>
      <w:pPr>
        <w:pStyle w:val="1158"/>
        <w:ind w:left="0"/>
      </w:pPr>
      <w:r/>
      <w:r/>
    </w:p>
    <w:p>
      <w:pPr>
        <w:pStyle w:val="957"/>
        <w:ind w:firstLine="720"/>
        <w:spacing w:before="0" w:beforeAutospacing="0" w:after="0" w:afterAutospacing="0" w:line="440" w:lineRule="exact"/>
        <w:rPr>
          <w:rFonts w:hint="eastAsia" w:cs="Arial"/>
        </w:rPr>
      </w:pPr>
      <w:r>
        <w:rPr>
          <w:rFonts w:cs="Arial"/>
        </w:rPr>
        <w:t xml:space="preserve">我单位参与</w:t>
      </w:r>
      <w:r>
        <w:rPr>
          <w:rFonts w:hint="eastAsia" w:cs="Arial"/>
        </w:rPr>
        <w:t xml:space="preserve">江苏理工学院武进绿建区协同创新园新建工程二期项目9号楼、33号楼厨房设备采购</w:t>
      </w:r>
      <w:r>
        <w:rPr>
          <w:rFonts w:hint="eastAsia" w:cs="Arial"/>
        </w:rPr>
        <w:t xml:space="preserve">投标</w:t>
      </w:r>
      <w:r>
        <w:rPr>
          <w:rFonts w:cs="Arial"/>
        </w:rPr>
        <w:t xml:space="preserve">，我单位承诺如下：</w:t>
      </w:r>
      <w:r/>
    </w:p>
    <w:p>
      <w:pPr>
        <w:pStyle w:val="957"/>
        <w:ind w:firstLine="720"/>
        <w:spacing w:before="0" w:beforeAutospacing="0" w:after="0" w:afterAutospacing="0" w:line="440" w:lineRule="exact"/>
        <w:rPr>
          <w:rFonts w:hint="eastAsia" w:cs="Arial"/>
        </w:rPr>
      </w:pPr>
      <w:r>
        <w:rPr>
          <w:rFonts w:hint="eastAsia" w:cs="Arial"/>
        </w:rPr>
      </w:r>
      <w:r/>
    </w:p>
    <w:p>
      <w:pPr>
        <w:pStyle w:val="957"/>
        <w:ind w:firstLine="720"/>
        <w:spacing w:before="0" w:beforeAutospacing="0" w:after="0" w:afterAutospacing="0" w:line="360" w:lineRule="auto"/>
        <w:rPr>
          <w:rFonts w:hint="eastAsia"/>
        </w:rPr>
      </w:pPr>
      <w:r>
        <w:t xml:space="preserve">1</w:t>
      </w:r>
      <w:r>
        <w:rPr>
          <w:rFonts w:cs="Arial"/>
        </w:rPr>
        <w:t xml:space="preserve">、我单位完全响应</w:t>
      </w:r>
      <w:r>
        <w:rPr>
          <w:rFonts w:hint="eastAsia"/>
        </w:rPr>
        <w:t xml:space="preserve">采购</w:t>
      </w:r>
      <w:r>
        <w:rPr>
          <w:rFonts w:cs="Arial"/>
        </w:rPr>
        <w:t xml:space="preserve">文件的条款和要求；</w:t>
      </w:r>
      <w:r/>
    </w:p>
    <w:p>
      <w:pPr>
        <w:pStyle w:val="957"/>
        <w:ind w:firstLine="720"/>
        <w:spacing w:before="0" w:beforeAutospacing="0" w:after="0" w:afterAutospacing="0" w:line="360" w:lineRule="auto"/>
        <w:rPr>
          <w:rFonts w:hint="eastAsia" w:cs="Arial"/>
        </w:rPr>
      </w:pPr>
      <w:r>
        <w:t xml:space="preserve">2</w:t>
      </w:r>
      <w:r>
        <w:rPr>
          <w:rFonts w:cs="Arial"/>
        </w:rPr>
        <w:t xml:space="preserve">、</w:t>
      </w:r>
      <w:r>
        <w:rPr>
          <w:rFonts w:hint="eastAsia" w:cs="Arial"/>
        </w:rPr>
        <w:t xml:space="preserve">我单位</w:t>
      </w:r>
      <w:r>
        <w:rPr>
          <w:rFonts w:cs="Arial"/>
        </w:rPr>
        <w:t xml:space="preserve">提供的所有货物均满足采购需求</w:t>
      </w:r>
      <w:r>
        <w:rPr>
          <w:rFonts w:hint="eastAsia" w:cs="Arial"/>
        </w:rPr>
        <w:t xml:space="preserve">所要求的参数及指标要求</w:t>
      </w:r>
      <w:r>
        <w:rPr>
          <w:rFonts w:hint="eastAsia" w:cs="Arial"/>
        </w:rPr>
        <w:t xml:space="preserve">，并满足需执行的国家相关标准、行业标准、地方标准或者其他标准、规范:</w:t>
      </w:r>
      <w:r/>
    </w:p>
    <w:p>
      <w:pPr>
        <w:pStyle w:val="957"/>
        <w:ind w:firstLine="720"/>
        <w:spacing w:before="0" w:beforeAutospacing="0" w:after="0" w:afterAutospacing="0" w:line="360" w:lineRule="auto"/>
        <w:rPr>
          <w:rFonts w:hint="eastAsia" w:cs="Arial"/>
        </w:rPr>
      </w:pPr>
      <w:r>
        <w:rPr>
          <w:rFonts w:hint="eastAsia" w:cs="Arial"/>
        </w:rPr>
        <w:t xml:space="preserve">2.1、有关之法规包括建筑规范，环保、卫生防疫、燃气或其它有关的法规。</w:t>
      </w:r>
      <w:r/>
    </w:p>
    <w:p>
      <w:pPr>
        <w:pStyle w:val="957"/>
        <w:ind w:firstLine="720"/>
        <w:spacing w:before="0" w:beforeAutospacing="0" w:after="0" w:afterAutospacing="0" w:line="360" w:lineRule="auto"/>
        <w:rPr>
          <w:rFonts w:hint="eastAsia" w:cs="Arial"/>
        </w:rPr>
      </w:pPr>
      <w:r>
        <w:rPr>
          <w:rFonts w:hint="eastAsia" w:cs="Arial"/>
        </w:rPr>
        <w:t xml:space="preserve">2.2、用电设备或电热、蒸汽设备，需符合</w:t>
      </w:r>
      <w:r>
        <w:rPr>
          <w:rFonts w:hint="eastAsia" w:cs="Arial"/>
        </w:rPr>
        <w:t xml:space="preserve">国家、省、市及</w:t>
      </w:r>
      <w:r>
        <w:rPr>
          <w:rFonts w:hint="eastAsia" w:cs="Arial"/>
        </w:rPr>
        <w:t xml:space="preserve">当地最新之标准。</w:t>
      </w:r>
      <w:r/>
    </w:p>
    <w:p>
      <w:pPr>
        <w:pStyle w:val="957"/>
        <w:ind w:firstLine="720"/>
        <w:spacing w:before="0" w:beforeAutospacing="0" w:after="0" w:afterAutospacing="0" w:line="360" w:lineRule="auto"/>
        <w:rPr>
          <w:rFonts w:hint="eastAsia" w:cs="Arial"/>
        </w:rPr>
      </w:pPr>
      <w:r>
        <w:rPr>
          <w:rFonts w:hint="eastAsia" w:cs="Arial"/>
        </w:rPr>
        <w:t xml:space="preserve">2.3、燃气用具</w:t>
      </w:r>
      <w:r>
        <w:rPr>
          <w:rFonts w:hint="eastAsia" w:cs="Arial"/>
        </w:rPr>
        <w:t xml:space="preserve">需符合国家、省、市及当地</w:t>
      </w:r>
      <w:r>
        <w:rPr>
          <w:rFonts w:hint="eastAsia" w:cs="Arial"/>
        </w:rPr>
        <w:t xml:space="preserve">燃气法规和相关管理部门的认可。</w:t>
      </w:r>
      <w:r/>
    </w:p>
    <w:p>
      <w:pPr>
        <w:pStyle w:val="957"/>
        <w:ind w:firstLine="720"/>
        <w:spacing w:before="0" w:beforeAutospacing="0" w:after="0" w:afterAutospacing="0" w:line="360" w:lineRule="auto"/>
        <w:rPr>
          <w:rFonts w:hint="eastAsia" w:cs="Arial"/>
        </w:rPr>
      </w:pPr>
      <w:r>
        <w:rPr>
          <w:rFonts w:hint="eastAsia" w:cs="Arial"/>
        </w:rPr>
        <w:t xml:space="preserve">2.4、提供的设备规格，除需要符合采购的标准之外，还需符合法规上或规范所需的标准，或需高于该标准。</w:t>
      </w:r>
      <w:r/>
    </w:p>
    <w:p>
      <w:pPr>
        <w:pStyle w:val="957"/>
        <w:ind w:firstLine="720"/>
        <w:spacing w:before="0" w:beforeAutospacing="0" w:after="0" w:afterAutospacing="0" w:line="360" w:lineRule="auto"/>
        <w:rPr>
          <w:rFonts w:hint="eastAsia" w:cs="Arial"/>
        </w:rPr>
      </w:pPr>
      <w:r>
        <w:rPr>
          <w:rFonts w:hint="eastAsia" w:cs="Arial"/>
        </w:rPr>
        <w:t xml:space="preserve">2.5、由于法规或规范适时变更所需而需要使设备之标准高于采购规范内的标准时，中标人不得向定做方索取额外费用</w:t>
      </w:r>
      <w:r>
        <w:rPr>
          <w:rFonts w:hint="eastAsia" w:cs="Arial"/>
        </w:rPr>
        <w:t xml:space="preserve">；</w:t>
      </w:r>
      <w:r/>
    </w:p>
    <w:p>
      <w:pPr>
        <w:pStyle w:val="957"/>
        <w:ind w:firstLine="720"/>
        <w:spacing w:before="0" w:beforeAutospacing="0" w:after="0" w:afterAutospacing="0" w:line="360" w:lineRule="auto"/>
        <w:rPr>
          <w:rFonts w:hint="eastAsia"/>
        </w:rPr>
      </w:pPr>
      <w:r>
        <w:rPr>
          <w:rFonts w:hint="eastAsia" w:cs="Arial"/>
        </w:rPr>
        <w:t xml:space="preserve">3、我单位承诺在合同签订前</w:t>
      </w:r>
      <w:r>
        <w:rPr>
          <w:rFonts w:cs="Arial"/>
        </w:rPr>
        <w:t xml:space="preserve">，</w:t>
      </w:r>
      <w:r>
        <w:rPr>
          <w:rFonts w:hint="eastAsia" w:cs="Arial"/>
        </w:rPr>
        <w:t xml:space="preserve">采购人有权要求</w:t>
      </w:r>
      <w:r>
        <w:t xml:space="preserve">查验</w:t>
      </w:r>
      <w:r>
        <w:rPr>
          <w:rFonts w:hint="eastAsia"/>
        </w:rPr>
        <w:t xml:space="preserve">我单位所投产品的</w:t>
      </w:r>
      <w:r>
        <w:rPr>
          <w:rFonts w:hint="eastAsia"/>
          <w:color w:val="ee0000"/>
        </w:rPr>
        <w:t xml:space="preserve">相关</w:t>
      </w:r>
      <w:r>
        <w:rPr>
          <w:rFonts w:hint="eastAsia"/>
          <w:color w:val="ee0000"/>
        </w:rPr>
        <w:t xml:space="preserve">证明材料</w:t>
      </w:r>
      <w:r>
        <w:rPr>
          <w:rFonts w:hint="eastAsia"/>
          <w:color w:val="ee0000"/>
        </w:rPr>
        <w:t xml:space="preserve">真实性</w:t>
      </w:r>
      <w:r>
        <w:rPr>
          <w:rFonts w:hint="eastAsia"/>
          <w:color w:val="ee0000"/>
        </w:rPr>
        <w:t xml:space="preserve">，</w:t>
      </w:r>
      <w:r>
        <w:rPr>
          <w:rFonts w:hint="eastAsia"/>
        </w:rPr>
        <w:t xml:space="preserve">如</w:t>
      </w:r>
      <w:r>
        <w:rPr>
          <w:rFonts w:hint="eastAsia"/>
        </w:rPr>
        <w:t xml:space="preserve">核查结果与投标文件内容不符</w:t>
      </w:r>
      <w:r>
        <w:rPr>
          <w:rFonts w:hint="eastAsia"/>
        </w:rPr>
        <w:t xml:space="preserve">，采购人有权拒签合同</w:t>
      </w:r>
      <w:r>
        <w:t xml:space="preserve">；</w:t>
      </w:r>
      <w:r/>
    </w:p>
    <w:p>
      <w:pPr>
        <w:pStyle w:val="957"/>
        <w:ind w:firstLine="720"/>
        <w:spacing w:before="0" w:beforeAutospacing="0" w:after="0" w:afterAutospacing="0" w:line="360" w:lineRule="auto"/>
        <w:rPr>
          <w:rFonts w:hint="eastAsia" w:cs="Arial"/>
        </w:rPr>
      </w:pPr>
      <w:r>
        <w:rPr>
          <w:rFonts w:hint="eastAsia"/>
        </w:rPr>
        <w:t xml:space="preserve">4</w:t>
      </w:r>
      <w:r>
        <w:rPr>
          <w:rFonts w:cs="Arial"/>
        </w:rPr>
        <w:t xml:space="preserve">、</w:t>
      </w:r>
      <w:r>
        <w:rPr>
          <w:rFonts w:hint="eastAsia" w:cs="Arial"/>
        </w:rPr>
        <w:t xml:space="preserve">我单位</w:t>
      </w:r>
      <w:r>
        <w:rPr>
          <w:rFonts w:cs="Arial"/>
        </w:rPr>
        <w:t xml:space="preserve">接受采购人对所有厨房设备进行抽样</w:t>
      </w:r>
      <w:r>
        <w:rPr>
          <w:rFonts w:hint="eastAsia" w:cs="Arial"/>
        </w:rPr>
        <w:t xml:space="preserve">检测</w:t>
      </w:r>
      <w:r>
        <w:rPr>
          <w:rFonts w:cs="Arial"/>
        </w:rPr>
        <w:t xml:space="preserve">或全部检测（检测单位由采购人指定），若检测结果不符合</w:t>
      </w:r>
      <w:r>
        <w:rPr>
          <w:rFonts w:hint="eastAsia" w:cs="Arial"/>
        </w:rPr>
        <w:t xml:space="preserve">采购文件的</w:t>
      </w:r>
      <w:r>
        <w:rPr>
          <w:rFonts w:cs="Arial"/>
        </w:rPr>
        <w:t xml:space="preserve">参数</w:t>
      </w:r>
      <w:r>
        <w:rPr>
          <w:rFonts w:hint="eastAsia" w:cs="Arial"/>
        </w:rPr>
        <w:t xml:space="preserve">及指标</w:t>
      </w:r>
      <w:r>
        <w:rPr>
          <w:rFonts w:cs="Arial"/>
        </w:rPr>
        <w:t xml:space="preserve">要求，</w:t>
      </w:r>
      <w:r>
        <w:rPr>
          <w:rFonts w:hint="eastAsia" w:cs="Arial"/>
        </w:rPr>
        <w:t xml:space="preserve">我单位</w:t>
      </w:r>
      <w:r>
        <w:rPr>
          <w:rFonts w:cs="Arial"/>
        </w:rPr>
        <w:t xml:space="preserve">同意退货，并承担不合格产品的</w:t>
      </w:r>
      <w:r>
        <w:t xml:space="preserve">100%</w:t>
      </w:r>
      <w:r>
        <w:rPr>
          <w:rFonts w:cs="Arial"/>
        </w:rPr>
        <w:t xml:space="preserve">惩罚性赔偿以及全部检测费用；</w:t>
      </w:r>
      <w:r/>
    </w:p>
    <w:p>
      <w:pPr>
        <w:pStyle w:val="957"/>
        <w:ind w:firstLine="720"/>
        <w:spacing w:before="0" w:beforeAutospacing="0" w:after="0" w:afterAutospacing="0" w:line="360" w:lineRule="auto"/>
        <w:rPr>
          <w:rFonts w:hint="eastAsia"/>
        </w:rPr>
      </w:pPr>
      <w:r>
        <w:rPr>
          <w:rFonts w:hint="eastAsia"/>
        </w:rPr>
        <w:t xml:space="preserve">5</w:t>
      </w:r>
      <w:r>
        <w:rPr>
          <w:rFonts w:cs="Arial"/>
        </w:rPr>
        <w:t xml:space="preserve">、下述</w:t>
      </w:r>
      <w:r>
        <w:rPr>
          <w:rFonts w:ascii="Arial" w:hAnsi="Arial" w:cs="Arial"/>
        </w:rPr>
        <w:t xml:space="preserve">“</w:t>
      </w:r>
      <w:r>
        <w:rPr>
          <w:rFonts w:cs="Arial"/>
        </w:rPr>
        <w:t xml:space="preserve">备注</w:t>
      </w:r>
      <w:r>
        <w:rPr>
          <w:rFonts w:ascii="Arial" w:hAnsi="Arial" w:cs="Arial"/>
        </w:rPr>
        <w:t xml:space="preserve">”</w:t>
      </w:r>
      <w:r>
        <w:rPr>
          <w:rFonts w:cs="Arial"/>
        </w:rPr>
        <w:t xml:space="preserve">内容我</w:t>
      </w:r>
      <w:r>
        <w:rPr>
          <w:rFonts w:hint="eastAsia" w:cs="Arial"/>
        </w:rPr>
        <w:t xml:space="preserve">单位</w:t>
      </w:r>
      <w:r>
        <w:rPr>
          <w:rFonts w:cs="Arial"/>
        </w:rPr>
        <w:t xml:space="preserve">已全部知悉。</w:t>
      </w:r>
      <w:r/>
    </w:p>
    <w:p>
      <w:pPr>
        <w:pStyle w:val="957"/>
        <w:ind w:firstLine="720"/>
        <w:spacing w:before="0" w:beforeAutospacing="0" w:after="0" w:afterAutospacing="0" w:line="440" w:lineRule="exact"/>
        <w:rPr>
          <w:rFonts w:hint="eastAsia" w:cs="Arial"/>
        </w:rPr>
      </w:pPr>
      <w:r>
        <w:rPr>
          <w:rFonts w:hint="eastAsia" w:cs="Arial"/>
        </w:rPr>
      </w:r>
      <w:r/>
    </w:p>
    <w:p>
      <w:pPr>
        <w:pStyle w:val="957"/>
        <w:ind w:firstLine="720"/>
        <w:spacing w:before="0" w:beforeAutospacing="0" w:after="0" w:afterAutospacing="0" w:line="440" w:lineRule="exact"/>
        <w:rPr>
          <w:rFonts w:hint="eastAsia"/>
        </w:rPr>
      </w:pPr>
      <w:r>
        <w:rPr>
          <w:rFonts w:cs="Arial"/>
        </w:rPr>
        <w:t xml:space="preserve">特此</w:t>
      </w:r>
      <w:r>
        <w:rPr>
          <w:rFonts w:hint="eastAsia" w:cs="Arial"/>
        </w:rPr>
        <w:t xml:space="preserve">承诺！</w:t>
      </w:r>
      <w:r/>
    </w:p>
    <w:p>
      <w:pPr>
        <w:pStyle w:val="957"/>
        <w:spacing w:before="0" w:beforeAutospacing="0" w:after="0" w:afterAutospacing="0" w:line="440" w:lineRule="exact"/>
        <w:rPr>
          <w:rFonts w:hint="eastAsia"/>
        </w:rPr>
      </w:pPr>
      <w:r>
        <w:t xml:space="preserve"> </w:t>
      </w:r>
      <w:r/>
    </w:p>
    <w:p>
      <w:pPr>
        <w:pStyle w:val="957"/>
        <w:ind w:firstLine="4800"/>
        <w:spacing w:before="0" w:beforeAutospacing="0" w:after="0" w:afterAutospacing="0" w:line="440" w:lineRule="exact"/>
        <w:rPr>
          <w:rFonts w:hint="eastAsia"/>
        </w:rPr>
      </w:pPr>
      <w:r>
        <w:rPr>
          <w:rFonts w:cs="Arial"/>
        </w:rPr>
        <w:t xml:space="preserve">投标单位</w:t>
      </w:r>
      <w:r>
        <w:t xml:space="preserve">(</w:t>
      </w:r>
      <w:r>
        <w:rPr>
          <w:rFonts w:hint="eastAsia" w:cs="楷体"/>
        </w:rPr>
        <w:t xml:space="preserve">加盖CA电子公章</w:t>
      </w:r>
      <w:r>
        <w:t xml:space="preserve">):</w:t>
      </w:r>
      <w:r/>
    </w:p>
    <w:p>
      <w:pPr>
        <w:pStyle w:val="957"/>
        <w:spacing w:before="0" w:beforeAutospacing="0" w:after="0" w:afterAutospacing="0" w:line="440" w:lineRule="exact"/>
        <w:rPr>
          <w:rFonts w:hint="eastAsia"/>
        </w:rPr>
      </w:pPr>
      <w:r>
        <w:t xml:space="preserve">          </w:t>
      </w:r>
      <w:r>
        <w:rPr>
          <w:rFonts w:hint="eastAsia"/>
        </w:rPr>
        <w:t xml:space="preserve">                              </w:t>
      </w:r>
      <w:r>
        <w:rPr>
          <w:rFonts w:cs="Arial"/>
        </w:rPr>
        <w:t xml:space="preserve">法定代表人</w:t>
      </w:r>
      <w:r>
        <w:t xml:space="preserve">(</w:t>
      </w:r>
      <w:r>
        <w:rPr>
          <w:rFonts w:cs="Arial"/>
        </w:rPr>
        <w:t xml:space="preserve">签字或签章</w:t>
      </w:r>
      <w:r>
        <w:t xml:space="preserve">):</w:t>
      </w:r>
      <w:r/>
    </w:p>
    <w:p>
      <w:pPr>
        <w:pStyle w:val="957"/>
        <w:spacing w:before="0" w:beforeAutospacing="0" w:after="0" w:afterAutospacing="0" w:line="440" w:lineRule="exact"/>
        <w:rPr>
          <w:rFonts w:hint="eastAsia"/>
        </w:rPr>
      </w:pPr>
      <w:r>
        <w:rPr>
          <w:rFonts w:cs="Arial"/>
        </w:rPr>
        <w:t xml:space="preserve">     </w:t>
      </w:r>
      <w:r>
        <w:rPr>
          <w:rFonts w:hint="eastAsia" w:cs="Arial"/>
        </w:rPr>
        <w:t xml:space="preserve">                                   </w:t>
      </w:r>
      <w:r>
        <w:rPr>
          <w:rFonts w:cs="Arial"/>
        </w:rPr>
        <w:t xml:space="preserve">日期</w:t>
      </w:r>
      <w:r>
        <w:t xml:space="preserve">:</w:t>
      </w:r>
      <w:r>
        <w:rPr>
          <w:rFonts w:hint="eastAsia"/>
          <w:szCs w:val="21"/>
        </w:rPr>
        <w:t xml:space="preserve"> ________年____月____日</w:t>
      </w:r>
      <w:r/>
    </w:p>
    <w:p>
      <w:pPr>
        <w:pStyle w:val="957"/>
        <w:spacing w:before="0" w:beforeAutospacing="0" w:after="0" w:afterAutospacing="0" w:line="440" w:lineRule="exact"/>
        <w:rPr>
          <w:rStyle w:val="969"/>
          <w:rFonts w:hint="eastAsia" w:cs="Arial"/>
        </w:rPr>
      </w:pPr>
      <w:r>
        <w:rPr>
          <w:rStyle w:val="969"/>
          <w:rFonts w:cs="Arial"/>
        </w:rPr>
        <w:t xml:space="preserve">     备注：若发现投标</w:t>
      </w:r>
      <w:r>
        <w:rPr>
          <w:rStyle w:val="969"/>
          <w:rFonts w:hint="eastAsia" w:cs="Arial"/>
        </w:rPr>
        <w:t xml:space="preserve">人</w:t>
      </w:r>
      <w:r>
        <w:rPr>
          <w:rStyle w:val="969"/>
          <w:rFonts w:cs="Arial"/>
        </w:rPr>
        <w:t xml:space="preserve">虚假承诺</w:t>
      </w:r>
      <w:r>
        <w:rPr>
          <w:rStyle w:val="969"/>
          <w:rFonts w:hint="eastAsia" w:cs="Arial"/>
        </w:rPr>
        <w:t xml:space="preserve">或提供虚假材料</w:t>
      </w:r>
      <w:r>
        <w:rPr>
          <w:rStyle w:val="969"/>
          <w:rFonts w:cs="Arial"/>
        </w:rPr>
        <w:t xml:space="preserve">，</w:t>
      </w:r>
      <w:r>
        <w:rPr>
          <w:rStyle w:val="969"/>
          <w:rFonts w:hint="eastAsia" w:cs="Arial"/>
        </w:rPr>
        <w:t xml:space="preserve">根据政府采购法及相关法律法规规定条款执行</w:t>
      </w:r>
      <w:r>
        <w:rPr>
          <w:rStyle w:val="969"/>
          <w:rFonts w:cs="Arial"/>
        </w:rPr>
        <w:t xml:space="preserve">。</w:t>
      </w:r>
      <w:r/>
    </w:p>
    <w:p>
      <w:pPr>
        <w:pStyle w:val="957"/>
        <w:spacing w:before="0" w:beforeAutospacing="0" w:after="0" w:afterAutospacing="0" w:line="440" w:lineRule="exact"/>
        <w:rPr>
          <w:rStyle w:val="969"/>
          <w:rFonts w:hint="eastAsia" w:cs="Arial"/>
        </w:rPr>
      </w:pPr>
      <w:r>
        <w:rPr>
          <w:rFonts w:hint="eastAsia" w:cs="Arial"/>
        </w:rPr>
      </w:r>
      <w:r/>
    </w:p>
    <w:p>
      <w:pPr>
        <w:jc w:val="center"/>
        <w:spacing w:line="400" w:lineRule="exact"/>
        <w:rPr>
          <w:rFonts w:hint="eastAsia"/>
          <w:b/>
          <w:spacing w:val="20"/>
          <w:sz w:val="32"/>
          <w:szCs w:val="32"/>
        </w:rPr>
        <w:outlineLvl w:val="1"/>
      </w:pPr>
      <w:r>
        <w:rPr>
          <w:rFonts w:hint="eastAsia"/>
          <w:b/>
          <w:spacing w:val="20"/>
          <w:sz w:val="32"/>
          <w:szCs w:val="32"/>
        </w:rPr>
        <w:t xml:space="preserve">十四</w:t>
      </w:r>
      <w:r>
        <w:rPr>
          <w:rFonts w:hint="eastAsia"/>
          <w:b/>
          <w:spacing w:val="20"/>
          <w:sz w:val="32"/>
          <w:szCs w:val="32"/>
        </w:rPr>
        <w:t xml:space="preserve">、关于符合本国产品标准的声明函（实质性格式）</w:t>
      </w:r>
      <w:r/>
    </w:p>
    <w:p>
      <w:pPr>
        <w:pStyle w:val="957"/>
        <w:spacing w:line="440" w:lineRule="exact"/>
        <w:rPr>
          <w:rFonts w:hint="eastAsia" w:cs="Arial"/>
        </w:rPr>
      </w:pPr>
      <w:r>
        <w:rPr>
          <w:rFonts w:hint="eastAsia" w:cs="Arial"/>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57"/>
        <w:spacing w:line="440" w:lineRule="exact"/>
        <w:rPr>
          <w:rFonts w:hint="eastAsia" w:cs="Arial"/>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page">
                  <wp:posOffset>3370317</wp:posOffset>
                </wp:positionH>
                <wp:positionV relativeFrom="paragraph">
                  <wp:posOffset>651618</wp:posOffset>
                </wp:positionV>
                <wp:extent cx="816610" cy="147320"/>
                <wp:effectExtent l="0" t="0" r="21590" b="24130"/>
                <wp:wrapNone/>
                <wp:docPr id="5" name="直接箭头连接符 1"/>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4" o:spid="_x0000_s4" o:spt="32" type="#_x0000_t32" style="position:absolute;z-index:251673600;o:allowoverlap:true;o:allowincell:true;mso-position-horizontal-relative:page;margin-left:265.4pt;mso-position-horizontal:absolute;mso-position-vertical-relative:text;margin-top:51.3pt;mso-position-vertical:absolute;width:64.3pt;height:11.6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3373336</wp:posOffset>
                </wp:positionH>
                <wp:positionV relativeFrom="paragraph">
                  <wp:posOffset>367401</wp:posOffset>
                </wp:positionV>
                <wp:extent cx="816610" cy="147320"/>
                <wp:effectExtent l="13970" t="9525" r="7620" b="5080"/>
                <wp:wrapNone/>
                <wp:docPr id="6" name="直接箭头连接符 1"/>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5" o:spid="_x0000_s5" o:spt="32" type="#_x0000_t32" style="position:absolute;z-index:251669504;o:allowoverlap:true;o:allowincell:true;mso-position-horizontal-relative:text;margin-left:265.6pt;mso-position-horizontal:absolute;mso-position-vertical-relative:text;margin-top:28.9pt;mso-position-vertical:absolute;width:64.3pt;height:11.6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1190518</wp:posOffset>
                </wp:positionH>
                <wp:positionV relativeFrom="paragraph">
                  <wp:posOffset>635119</wp:posOffset>
                </wp:positionV>
                <wp:extent cx="816610" cy="147320"/>
                <wp:effectExtent l="13970" t="9525" r="7620" b="5080"/>
                <wp:wrapNone/>
                <wp:docPr id="7" name="直接箭头连接符 1"/>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6" o:spid="_x0000_s6" o:spt="32" type="#_x0000_t32" style="position:absolute;z-index:251671552;o:allowoverlap:true;o:allowincell:true;mso-position-horizontal-relative:text;margin-left:93.7pt;mso-position-horizontal:absolute;mso-position-vertical-relative:text;margin-top:50.0pt;mso-position-vertical:absolute;width:64.3pt;height:11.6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4537494</wp:posOffset>
                </wp:positionH>
                <wp:positionV relativeFrom="paragraph">
                  <wp:posOffset>87163</wp:posOffset>
                </wp:positionV>
                <wp:extent cx="816610" cy="147320"/>
                <wp:effectExtent l="13970" t="9525" r="7620" b="5080"/>
                <wp:wrapNone/>
                <wp:docPr id="8" name="直接箭头连接符 1"/>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7" o:spid="_x0000_s7" o:spt="32" type="#_x0000_t32" style="position:absolute;z-index:251667456;o:allowoverlap:true;o:allowincell:true;mso-position-horizontal-relative:text;margin-left:357.3pt;mso-position-horizontal:absolute;mso-position-vertical-relative:text;margin-top:6.9pt;mso-position-vertical:absolute;width:64.3pt;height:11.6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4520242</wp:posOffset>
                </wp:positionH>
                <wp:positionV relativeFrom="paragraph">
                  <wp:posOffset>366562</wp:posOffset>
                </wp:positionV>
                <wp:extent cx="816610" cy="147320"/>
                <wp:effectExtent l="13970" t="9525" r="7620" b="5080"/>
                <wp:wrapNone/>
                <wp:docPr id="9" name="直接箭头连接符 1"/>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8" o:spid="_x0000_s8" o:spt="32" type="#_x0000_t32" style="position:absolute;z-index:251661312;o:allowoverlap:true;o:allowincell:true;mso-position-horizontal-relative:text;margin-left:355.9pt;mso-position-horizontal:absolute;mso-position-vertical-relative:text;margin-top:28.9pt;mso-position-vertical:absolute;width:64.3pt;height:11.6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2171197</wp:posOffset>
                </wp:positionH>
                <wp:positionV relativeFrom="paragraph">
                  <wp:posOffset>366994</wp:posOffset>
                </wp:positionV>
                <wp:extent cx="816610" cy="147320"/>
                <wp:effectExtent l="13970" t="9525" r="7620" b="5080"/>
                <wp:wrapNone/>
                <wp:docPr id="10" name="直接箭头连接符 1"/>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9" o:spid="_x0000_s9" o:spt="32" type="#_x0000_t32" style="position:absolute;z-index:251659264;o:allowoverlap:true;o:allowincell:true;mso-position-horizontal-relative:text;margin-left:171.0pt;mso-position-horizontal:absolute;mso-position-vertical-relative:text;margin-top:28.9pt;mso-position-vertical:absolute;width:64.3pt;height:11.6pt;mso-wrap-distance-left:9.0pt;mso-wrap-distance-top:0.0pt;mso-wrap-distance-right:9.0pt;mso-wrap-distance-bottom:0.0pt;flip:y;visibility:visible;" filled="f" strokecolor="#000000" strokeweight="0.75pt"/>
            </w:pict>
          </mc:Fallback>
        </mc:AlternateContent>
      </w:r>
      <w:r>
        <w:rPr>
          <w:rFonts w:hint="eastAsia" w:cs="Arial"/>
        </w:rPr>
        <w:t xml:space="preserve">1.（产品名称1）1，生产厂为（厂名）2，厂址为（生产厂址）。 （产品名称1） 的中国境内生产的组件成本占比≥（规定比例）3。（产品名称1）的（关键组件）4在中国境内生产。（产品名称1）的（关键工序）5在中国境内完成。</w:t>
      </w:r>
      <w:r/>
    </w:p>
    <w:p>
      <w:pPr>
        <w:pStyle w:val="957"/>
        <w:spacing w:line="440" w:lineRule="exact"/>
        <w:rPr>
          <w:rFonts w:hint="eastAsia" w:cs="Arial"/>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81792" behindDoc="0" locked="0" layoutInCell="1" allowOverlap="1">
                <wp:simplePos x="0" y="0"/>
                <wp:positionH relativeFrom="column">
                  <wp:posOffset>1699427</wp:posOffset>
                </wp:positionH>
                <wp:positionV relativeFrom="paragraph">
                  <wp:posOffset>636461</wp:posOffset>
                </wp:positionV>
                <wp:extent cx="816610" cy="147320"/>
                <wp:effectExtent l="13970" t="9525" r="7620" b="5080"/>
                <wp:wrapNone/>
                <wp:docPr id="11" name="直接箭头连接符 1"/>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0" o:spid="_x0000_s10" o:spt="32" type="#_x0000_t32" style="position:absolute;z-index:251681792;o:allowoverlap:true;o:allowincell:true;mso-position-horizontal-relative:text;margin-left:133.8pt;mso-position-horizontal:absolute;mso-position-vertical-relative:text;margin-top:50.1pt;mso-position-vertical:absolute;width:64.3pt;height:11.6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9744" behindDoc="0" locked="0" layoutInCell="1" allowOverlap="1">
                <wp:simplePos x="0" y="0"/>
                <wp:positionH relativeFrom="column">
                  <wp:posOffset>552570</wp:posOffset>
                </wp:positionH>
                <wp:positionV relativeFrom="paragraph">
                  <wp:posOffset>653906</wp:posOffset>
                </wp:positionV>
                <wp:extent cx="816610" cy="147320"/>
                <wp:effectExtent l="13970" t="9525" r="7620" b="5080"/>
                <wp:wrapNone/>
                <wp:docPr id="12" name="直接箭头连接符 1"/>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1" o:spid="_x0000_s11" o:spt="32" type="#_x0000_t32" style="position:absolute;z-index:251679744;o:allowoverlap:true;o:allowincell:true;mso-position-horizontal-relative:text;margin-left:43.5pt;mso-position-horizontal:absolute;mso-position-vertical-relative:text;margin-top:51.5pt;mso-position-vertical:absolute;width:64.3pt;height:11.6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column">
                  <wp:posOffset>3019365</wp:posOffset>
                </wp:positionH>
                <wp:positionV relativeFrom="paragraph">
                  <wp:posOffset>369054</wp:posOffset>
                </wp:positionV>
                <wp:extent cx="816610" cy="147320"/>
                <wp:effectExtent l="13970" t="9525" r="7620" b="5080"/>
                <wp:wrapNone/>
                <wp:docPr id="13" name="直接箭头连接符 1"/>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2" o:spid="_x0000_s12" o:spt="32" type="#_x0000_t32" style="position:absolute;z-index:251677696;o:allowoverlap:true;o:allowincell:true;mso-position-horizontal-relative:text;margin-left:237.7pt;mso-position-horizontal:absolute;mso-position-vertical-relative:text;margin-top:29.1pt;mso-position-vertical:absolute;width:64.3pt;height:11.6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4295955</wp:posOffset>
                </wp:positionH>
                <wp:positionV relativeFrom="paragraph">
                  <wp:posOffset>95789</wp:posOffset>
                </wp:positionV>
                <wp:extent cx="816610" cy="147320"/>
                <wp:effectExtent l="13970" t="9525" r="7620" b="5080"/>
                <wp:wrapNone/>
                <wp:docPr id="14" name="直接箭头连接符 1"/>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3" o:spid="_x0000_s13" o:spt="32" type="#_x0000_t32" style="position:absolute;z-index:251675648;o:allowoverlap:true;o:allowincell:true;mso-position-horizontal-relative:text;margin-left:338.3pt;mso-position-horizontal:absolute;mso-position-vertical-relative:text;margin-top:7.5pt;mso-position-vertical:absolute;width:64.3pt;height:11.6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4106174</wp:posOffset>
                </wp:positionH>
                <wp:positionV relativeFrom="paragraph">
                  <wp:posOffset>375189</wp:posOffset>
                </wp:positionV>
                <wp:extent cx="816610" cy="147320"/>
                <wp:effectExtent l="13970" t="9525" r="7620" b="5080"/>
                <wp:wrapNone/>
                <wp:docPr id="15" name="直接箭头连接符 1"/>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4" o:spid="_x0000_s14" o:spt="32" type="#_x0000_t32" style="position:absolute;z-index:251665408;o:allowoverlap:true;o:allowincell:true;mso-position-horizontal-relative:text;margin-left:323.3pt;mso-position-horizontal:absolute;mso-position-vertical-relative:text;margin-top:29.5pt;mso-position-vertical:absolute;width:64.3pt;height:11.6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1880559</wp:posOffset>
                </wp:positionH>
                <wp:positionV relativeFrom="paragraph">
                  <wp:posOffset>392442</wp:posOffset>
                </wp:positionV>
                <wp:extent cx="816610" cy="147320"/>
                <wp:effectExtent l="13970" t="9525" r="7620" b="5080"/>
                <wp:wrapNone/>
                <wp:docPr id="16" name="直接箭头连接符 1"/>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5" o:spid="_x0000_s15" o:spt="32" type="#_x0000_t32" style="position:absolute;z-index:251663360;o:allowoverlap:true;o:allowincell:true;mso-position-horizontal-relative:text;margin-left:148.1pt;mso-position-horizontal:absolute;mso-position-vertical-relative:text;margin-top:30.9pt;mso-position-vertical:absolute;width:64.3pt;height:11.6pt;mso-wrap-distance-left:9.0pt;mso-wrap-distance-top:0.0pt;mso-wrap-distance-right:9.0pt;mso-wrap-distance-bottom:0.0pt;flip:y;visibility:visible;" filled="f" strokecolor="#000000" strokeweight="0.75pt"/>
            </w:pict>
          </mc:Fallback>
        </mc:AlternateContent>
      </w:r>
      <w:r>
        <w:rPr>
          <w:rFonts w:hint="eastAsia" w:cs="Arial"/>
        </w:rPr>
        <w:t xml:space="preserve">2.（产品名称2），生产厂为（厂名），厂址为（生产厂址）。（产品名称2）的中国境内生产的组件成本占比≥（规定比例）。（产品名称2）的（关键组件）在中国境内生产。（产品名称2）的（关键工序）在中国境内完成。</w:t>
      </w:r>
      <w:r/>
    </w:p>
    <w:p>
      <w:pPr>
        <w:pStyle w:val="957"/>
        <w:spacing w:line="440" w:lineRule="exact"/>
        <w:rPr>
          <w:rFonts w:hint="eastAsia" w:cs="Arial"/>
        </w:rPr>
      </w:pPr>
      <w:r>
        <w:rPr>
          <w:rFonts w:hint="eastAsia" w:cs="Arial"/>
        </w:rPr>
        <w:t xml:space="preserve">……</w:t>
      </w:r>
      <w:r/>
    </w:p>
    <w:p>
      <w:pPr>
        <w:pStyle w:val="957"/>
        <w:spacing w:line="440" w:lineRule="exact"/>
        <w:rPr>
          <w:rFonts w:hint="eastAsia" w:cs="Arial"/>
        </w:rPr>
      </w:pPr>
      <w:r>
        <w:rPr>
          <w:rFonts w:hint="eastAsia" w:cs="Arial"/>
        </w:rPr>
        <w:t xml:space="preserve">本公司（单位）对上述声明内容的真实性负责。如有虚假，愿承担相应法律责任。</w:t>
      </w:r>
      <w:r/>
    </w:p>
    <w:p>
      <w:pPr>
        <w:pStyle w:val="957"/>
        <w:spacing w:line="440" w:lineRule="exact"/>
        <w:rPr>
          <w:rFonts w:hint="eastAsia" w:cs="Arial"/>
        </w:rPr>
      </w:pPr>
      <w:r>
        <w:rPr>
          <w:rFonts w:hint="eastAsia" w:cs="Arial"/>
        </w:rPr>
        <w:t xml:space="preserve">公司（单位）名称（盖章）：　</w:t>
      </w:r>
      <w:r>
        <w:rPr>
          <w:rFonts w:cs="Arial"/>
        </w:rPr>
        <w:t xml:space="preserve">        </w:t>
      </w:r>
      <w:r/>
    </w:p>
    <w:p>
      <w:pPr>
        <w:pStyle w:val="957"/>
        <w:spacing w:line="440" w:lineRule="exact"/>
        <w:rPr>
          <w:rFonts w:hint="eastAsia" w:cs="Arial"/>
        </w:rPr>
      </w:pPr>
      <w:r>
        <w:rPr>
          <w:rFonts w:cs="Arial"/>
        </w:rPr>
        <w:t xml:space="preserve">                                日期：　   年　  月　  日         </w:t>
      </w:r>
      <w:r/>
    </w:p>
    <w:p>
      <w:pPr>
        <w:pStyle w:val="957"/>
        <w:spacing w:line="440" w:lineRule="exact"/>
        <w:rPr>
          <w:rFonts w:hint="eastAsia" w:cs="Arial"/>
        </w:rPr>
      </w:pPr>
      <w:r>
        <w:rPr>
          <w:rFonts w:hint="eastAsia" w:cs="Arial"/>
        </w:rPr>
        <w:t xml:space="preserve">__________________</w:t>
      </w:r>
      <w:r/>
    </w:p>
    <w:p>
      <w:pPr>
        <w:pStyle w:val="957"/>
        <w:spacing w:line="440" w:lineRule="exact"/>
        <w:rPr>
          <w:rFonts w:hint="eastAsia" w:cs="Arial"/>
        </w:rPr>
      </w:pPr>
      <w:r>
        <w:rPr>
          <w:rFonts w:hint="eastAsia" w:cs="Arial"/>
        </w:rPr>
        <w:t xml:space="preserve">1.产品如有型号，请在“产品名称”栏一并填写。</w:t>
      </w:r>
      <w:r/>
    </w:p>
    <w:p>
      <w:pPr>
        <w:pStyle w:val="957"/>
        <w:spacing w:line="440" w:lineRule="exact"/>
        <w:rPr>
          <w:rFonts w:hint="eastAsia" w:cs="Arial"/>
        </w:rPr>
      </w:pPr>
      <w:r>
        <w:rPr>
          <w:rFonts w:hint="eastAsia" w:cs="Arial"/>
        </w:rPr>
        <w:t xml:space="preserve">2.生产厂名与厂址应与生产厂营业执照载明的相关信息保持一致。</w:t>
      </w:r>
      <w:r/>
    </w:p>
    <w:p>
      <w:pPr>
        <w:pStyle w:val="957"/>
        <w:spacing w:line="440" w:lineRule="exact"/>
        <w:rPr>
          <w:rFonts w:hint="eastAsia" w:cs="Arial"/>
        </w:rPr>
      </w:pPr>
      <w:r>
        <w:rPr>
          <w:rFonts w:hint="eastAsia" w:cs="Arial"/>
        </w:rPr>
        <w:t xml:space="preserve">3.该产品的中国境内生产的组件成本占比相关要求实施前，“规定比例”栏可不填，下同。</w:t>
      </w:r>
      <w:r/>
    </w:p>
    <w:p>
      <w:pPr>
        <w:pStyle w:val="957"/>
        <w:spacing w:line="440" w:lineRule="exact"/>
        <w:rPr>
          <w:rFonts w:hint="eastAsia" w:cs="Arial"/>
        </w:rPr>
      </w:pPr>
      <w:r>
        <w:rPr>
          <w:rFonts w:hint="eastAsia" w:cs="Arial"/>
        </w:rPr>
        <w:t xml:space="preserve">4.该产品的关键组件要求实施前，“关键组件”栏可不填，下同。</w:t>
      </w:r>
      <w:r/>
    </w:p>
    <w:p>
      <w:pPr>
        <w:pStyle w:val="957"/>
        <w:spacing w:line="440" w:lineRule="exact"/>
        <w:rPr>
          <w:rFonts w:hint="eastAsia" w:cs="Arial"/>
        </w:rPr>
      </w:pPr>
      <w:r>
        <w:rPr>
          <w:rFonts w:hint="eastAsia" w:cs="Arial"/>
        </w:rPr>
        <w:t xml:space="preserve">5.该产品的关键工序要求实施前，“关键工序”栏可不填，下同。</w:t>
      </w:r>
      <w:r/>
    </w:p>
    <w:p>
      <w:pPr>
        <w:pStyle w:val="957"/>
        <w:spacing w:before="0" w:beforeAutospacing="0" w:after="0" w:afterAutospacing="0" w:line="440" w:lineRule="exact"/>
        <w:rPr>
          <w:rFonts w:hint="eastAsia" w:cs="Arial"/>
        </w:rPr>
      </w:pPr>
      <w:r>
        <w:rPr>
          <w:rFonts w:hint="eastAsia" w:cs="Arial"/>
        </w:rPr>
        <w:t xml:space="preserve">6.用斜线划除的地方无需填写。</w:t>
      </w:r>
      <w:r/>
    </w:p>
    <w:p>
      <w:pPr>
        <w:ind w:firstLine="2890"/>
        <w:keepLines/>
        <w:keepNext/>
        <w:spacing w:before="260" w:after="260" w:line="415" w:lineRule="auto"/>
        <w:rPr>
          <w:rFonts w:hint="eastAsia"/>
          <w:b/>
          <w:spacing w:val="20"/>
          <w:sz w:val="32"/>
          <w:szCs w:val="32"/>
        </w:rPr>
        <w:outlineLvl w:val="2"/>
      </w:pPr>
      <w:r/>
      <w:bookmarkStart w:id="536" w:name="_Toc152683423"/>
      <w:r/>
      <w:bookmarkStart w:id="537" w:name="_Toc152683583"/>
      <w:r/>
      <w:bookmarkStart w:id="538" w:name="_Toc197636595"/>
      <w:r/>
      <w:bookmarkStart w:id="539" w:name="_Toc197636647"/>
      <w:r>
        <w:rPr>
          <w:rFonts w:hint="eastAsia"/>
          <w:b/>
          <w:spacing w:val="20"/>
          <w:sz w:val="32"/>
          <w:szCs w:val="32"/>
        </w:rPr>
        <w:t xml:space="preserve">十</w:t>
      </w:r>
      <w:r>
        <w:rPr>
          <w:rFonts w:hint="eastAsia"/>
          <w:b/>
          <w:spacing w:val="20"/>
          <w:sz w:val="32"/>
          <w:szCs w:val="32"/>
        </w:rPr>
        <w:t xml:space="preserve">五</w:t>
      </w:r>
      <w:r>
        <w:rPr>
          <w:rFonts w:hint="eastAsia"/>
          <w:b/>
          <w:spacing w:val="20"/>
          <w:sz w:val="32"/>
          <w:szCs w:val="32"/>
        </w:rPr>
        <w:t xml:space="preserve">、其他格式材料</w:t>
      </w:r>
      <w:bookmarkEnd w:id="536"/>
      <w:r/>
      <w:bookmarkEnd w:id="537"/>
      <w:r/>
      <w:bookmarkEnd w:id="538"/>
      <w:r/>
      <w:bookmarkEnd w:id="539"/>
      <w:r/>
      <w:r/>
    </w:p>
    <w:p>
      <w:pPr>
        <w:jc w:val="center"/>
        <w:spacing w:line="360" w:lineRule="auto"/>
        <w:rPr>
          <w:rFonts w:hint="eastAsia"/>
          <w:b/>
          <w:sz w:val="32"/>
          <w:szCs w:val="32"/>
        </w:rPr>
      </w:pPr>
      <w:r>
        <w:rPr>
          <w:rFonts w:hint="eastAsia"/>
          <w:b/>
          <w:sz w:val="32"/>
          <w:szCs w:val="32"/>
        </w:rPr>
        <w:t xml:space="preserve">1</w:t>
      </w:r>
      <w:r>
        <w:rPr>
          <w:b/>
          <w:sz w:val="32"/>
          <w:szCs w:val="32"/>
        </w:rPr>
        <w:t xml:space="preserve">、</w:t>
      </w:r>
      <w:r>
        <w:rPr>
          <w:rFonts w:hint="eastAsia"/>
          <w:b/>
          <w:sz w:val="32"/>
          <w:szCs w:val="32"/>
        </w:rPr>
        <w:t xml:space="preserve">参加本项目人员一览表</w:t>
      </w:r>
      <w:r/>
    </w:p>
    <w:p>
      <w:pPr>
        <w:spacing w:line="360" w:lineRule="auto"/>
        <w:rPr>
          <w:rFonts w:hint="eastAsia"/>
          <w:sz w:val="22"/>
        </w:rPr>
      </w:pPr>
      <w:r>
        <w:rPr>
          <w:rFonts w:hint="eastAsia"/>
          <w:sz w:val="22"/>
        </w:rPr>
      </w:r>
      <w:r/>
    </w:p>
    <w:p>
      <w:pPr>
        <w:spacing w:line="360" w:lineRule="auto"/>
        <w:rPr>
          <w:rFonts w:hint="eastAsia"/>
        </w:rPr>
      </w:pPr>
      <w:r>
        <w:rPr>
          <w:rFonts w:hint="eastAsia"/>
        </w:rPr>
        <w:t xml:space="preserve">项目编号</w:t>
      </w:r>
      <w:bookmarkStart w:id="540" w:name="OLE_LINK6"/>
      <w:r>
        <w:rPr>
          <w:rFonts w:hint="eastAsia"/>
        </w:rPr>
        <w:t xml:space="preserve">/包号</w:t>
      </w:r>
      <w:bookmarkEnd w:id="540"/>
      <w:r>
        <w:rPr>
          <w:rFonts w:hint="eastAsia"/>
        </w:rPr>
        <w:t xml:space="preserve">：</w:t>
      </w:r>
      <w:r>
        <w:rPr>
          <w:rFonts w:hint="eastAsia"/>
          <w:u w:val="single"/>
        </w:rPr>
        <w:t xml:space="preserve">                     </w:t>
      </w:r>
      <w:r/>
    </w:p>
    <w:tbl>
      <w:tblPr>
        <w:tblW w:w="9450" w:type="dxa"/>
        <w:tblInd w:w="-357" w:type="dxa"/>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rPr>
            </w:pPr>
            <w:r>
              <w:rPr>
                <w:rFonts w:hint="eastAsia"/>
              </w:rPr>
              <w:t xml:space="preserve">序号</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rPr>
            </w:pPr>
            <w:r>
              <w:rPr>
                <w:rFonts w:hint="eastAsia"/>
              </w:rPr>
              <w:t xml:space="preserve">姓名</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rPr>
            </w:pPr>
            <w:r>
              <w:rPr>
                <w:rFonts w:hint="eastAsia"/>
              </w:rPr>
              <w:t xml:space="preserve">性别</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rPr>
            </w:pPr>
            <w:r>
              <w:rPr>
                <w:rFonts w:hint="eastAsia"/>
              </w:rPr>
              <w:t xml:space="preserve">年龄</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rPr>
            </w:pPr>
            <w:r>
              <w:rPr>
                <w:rFonts w:hint="eastAsia"/>
              </w:rPr>
              <w:t xml:space="preserve">毕业学校和学历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rPr>
            </w:pPr>
            <w:r>
              <w:rPr>
                <w:rFonts w:hint="eastAsia"/>
              </w:rPr>
              <w:t xml:space="preserve">专业</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rPr>
            </w:pPr>
            <w:r>
              <w:rPr>
                <w:rFonts w:hint="eastAsia"/>
              </w:rPr>
              <w:t xml:space="preserve">职称</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rPr>
            </w:pPr>
            <w:r>
              <w:rPr>
                <w:rFonts w:hint="eastAsia"/>
              </w:rPr>
              <w:t xml:space="preserve">专业培训及证书</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rPr>
            </w:pPr>
            <w:r>
              <w:rPr>
                <w:rFonts w:hint="eastAsia"/>
              </w:rPr>
              <w:t xml:space="preserve">责任</w:t>
            </w:r>
            <w:r/>
          </w:p>
          <w:p>
            <w:pPr>
              <w:jc w:val="center"/>
              <w:spacing w:line="360" w:lineRule="auto"/>
              <w:tabs>
                <w:tab w:val="left" w:pos="9765" w:leader="none"/>
              </w:tabs>
              <w:rPr>
                <w:rFonts w:hint="eastAsia"/>
              </w:rPr>
            </w:pPr>
            <w:r>
              <w:rPr>
                <w:rFonts w:hint="eastAsia"/>
              </w:rPr>
              <w:t xml:space="preserve">或分工</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rPr>
            </w:pPr>
            <w:r>
              <w:rPr>
                <w:rFonts w:hint="eastAsia"/>
              </w:rPr>
              <w:t xml:space="preserve">项目经历或主要工作</w:t>
            </w:r>
            <w:r/>
          </w:p>
          <w:p>
            <w:pPr>
              <w:jc w:val="center"/>
              <w:spacing w:line="360" w:lineRule="auto"/>
              <w:tabs>
                <w:tab w:val="left" w:pos="9765" w:leader="none"/>
              </w:tabs>
              <w:rPr>
                <w:rFonts w:hint="eastAsia"/>
              </w:rPr>
            </w:pPr>
            <w:r>
              <w:rPr>
                <w:rFonts w:hint="eastAsia"/>
              </w:rPr>
              <w:t xml:space="preserve">业绩</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rPr>
            </w:pPr>
            <w:r>
              <w:rPr>
                <w:rFonts w:hint="eastAsia"/>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rPr>
            </w:pPr>
            <w:r>
              <w:rPr>
                <w:rFonts w:hint="eastAsia"/>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rPr>
            </w:pPr>
            <w:r>
              <w:rPr>
                <w:rFonts w:hint="eastAsia"/>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rPr>
            </w:pPr>
            <w:r>
              <w:rPr>
                <w:rFonts w:hint="eastAsia"/>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rPr>
            </w:pPr>
            <w:r>
              <w:rPr>
                <w:rFonts w:hint="eastAsia"/>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rPr>
            </w:pPr>
            <w:r>
              <w:rPr>
                <w:rFonts w:hint="eastAsia"/>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rPr>
            </w:pPr>
            <w:r>
              <w:rPr>
                <w:rFonts w:hint="eastAsia"/>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rPr>
            </w:pPr>
            <w:r>
              <w:rPr>
                <w:rFonts w:hint="eastAsia"/>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rPr>
            </w:pPr>
            <w:r>
              <w:rPr>
                <w:rFonts w:hint="eastAsia"/>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rPr>
            </w:pPr>
            <w:r>
              <w:rPr>
                <w:rFonts w:hint="eastAsia"/>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rPr>
            </w:pPr>
            <w:r>
              <w:rPr>
                <w:rFonts w:hint="eastAsia"/>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rPr>
            </w:pPr>
            <w:r>
              <w:rPr>
                <w:rFonts w:hint="eastAsia"/>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rPr>
            </w:pPr>
            <w:r>
              <w:rPr>
                <w:rFonts w:hint="eastAsia"/>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rPr>
            </w:pPr>
            <w:r>
              <w:rPr>
                <w:rFonts w:hint="eastAsia"/>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rPr>
            </w:pPr>
            <w:r>
              <w:rPr>
                <w:rFonts w:hint="eastAsia"/>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rPr>
            </w:pPr>
            <w:r>
              <w:rPr>
                <w:rFonts w:hint="eastAsia"/>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rPr>
            </w:pPr>
            <w:r>
              <w:rPr>
                <w:rFonts w:hint="eastAsia"/>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rPr>
            </w:pPr>
            <w:r>
              <w:rPr>
                <w:rFonts w:hint="eastAsia"/>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rPr>
            </w:pPr>
            <w:r>
              <w:rPr>
                <w:rFonts w:hint="eastAsia"/>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rPr>
            </w:pPr>
            <w:r>
              <w:rPr>
                <w:rFonts w:hint="eastAsia"/>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rPr>
            </w:pPr>
            <w:r>
              <w:rPr>
                <w:rFonts w:hint="eastAsia"/>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rPr>
            </w:pPr>
            <w:r>
              <w:rPr>
                <w:rFonts w:hint="eastAsia"/>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rPr>
            </w:pPr>
            <w:r>
              <w:rPr>
                <w:rFonts w:hint="eastAsia"/>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rPr>
            </w:pPr>
            <w:r>
              <w:rPr>
                <w:rFonts w:hint="eastAsia"/>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rPr>
            </w:pPr>
            <w:r>
              <w:rPr>
                <w:rFonts w:hint="eastAsia"/>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rPr>
            </w:pPr>
            <w:r>
              <w:rPr>
                <w:rFonts w:hint="eastAsia"/>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rPr>
            </w:pPr>
            <w:r>
              <w:rPr>
                <w:rFonts w:hint="eastAsia"/>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rPr>
            </w:pPr>
            <w:r>
              <w:rPr>
                <w:rFonts w:hint="eastAsia"/>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rPr>
            </w:pPr>
            <w:r>
              <w:rPr>
                <w:rFonts w:hint="eastAsia"/>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rPr>
            </w:pPr>
            <w:r>
              <w:rPr>
                <w:rFonts w:hint="eastAsia"/>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rPr>
            </w:pPr>
            <w:r>
              <w:rPr>
                <w:rFonts w:hint="eastAsia"/>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rPr>
            </w:pPr>
            <w:r>
              <w:rPr>
                <w:rFonts w:hint="eastAsia"/>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rPr>
            </w:pPr>
            <w:r>
              <w:rPr>
                <w:rFonts w:hint="eastAsia"/>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rPr>
            </w:pPr>
            <w:r>
              <w:rPr>
                <w:rFonts w:hint="eastAsia"/>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rPr>
            </w:pPr>
            <w:r>
              <w:rPr>
                <w:rFonts w:hint="eastAsia"/>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rPr>
            </w:pPr>
            <w:r>
              <w:rPr>
                <w:rFonts w:hint="eastAsia"/>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rPr>
            </w:pPr>
            <w:r>
              <w:rPr>
                <w:rFonts w:hint="eastAsia"/>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rPr>
            </w:pPr>
            <w:r>
              <w:rPr>
                <w:rFonts w:hint="eastAsia"/>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rPr>
            </w:pPr>
            <w:r>
              <w:rPr>
                <w:rFonts w:hint="eastAsia"/>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rPr>
            </w:pPr>
            <w:r>
              <w:rPr>
                <w:rFonts w:hint="eastAsia"/>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rPr>
            </w:pPr>
            <w:r>
              <w:rPr>
                <w:rFonts w:hint="eastAsia"/>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rPr>
            </w:pPr>
            <w:r>
              <w:rPr>
                <w:rFonts w:hint="eastAsia"/>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rPr>
            </w:pPr>
            <w:r>
              <w:rPr>
                <w:rFonts w:hint="eastAsia"/>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rPr>
            </w:pPr>
            <w:r>
              <w:rPr>
                <w:rFonts w:hint="eastAsia"/>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rPr>
            </w:pPr>
            <w:r>
              <w:rPr>
                <w:rFonts w:hint="eastAsia"/>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rPr>
            </w:pPr>
            <w:r>
              <w:rPr>
                <w:rFonts w:hint="eastAsia"/>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rPr>
            </w:pPr>
            <w:r>
              <w:rPr>
                <w:rFonts w:hint="eastAsia"/>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rPr>
            </w:pPr>
            <w:r>
              <w:rPr>
                <w:rFonts w:hint="eastAsia"/>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rPr>
            </w:pPr>
            <w:r>
              <w:rPr>
                <w:rFonts w:hint="eastAsia"/>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rPr>
            </w:pPr>
            <w:r>
              <w:rPr>
                <w:rFonts w:hint="eastAsia"/>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rPr>
            </w:pPr>
            <w:r>
              <w:rPr>
                <w:rFonts w:hint="eastAsia"/>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rPr>
            </w:pPr>
            <w:r>
              <w:rPr>
                <w:rFonts w:hint="eastAsia"/>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rPr>
            </w:pPr>
            <w:r>
              <w:rPr>
                <w:rFonts w:hint="eastAsia"/>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rPr>
            </w:pPr>
            <w:r>
              <w:rPr>
                <w:rFonts w:hint="eastAsia"/>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rPr>
            </w:pPr>
            <w:r>
              <w:rPr>
                <w:rFonts w:hint="eastAsia"/>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rPr>
            </w:pPr>
            <w:r>
              <w:rPr>
                <w:rFonts w:hint="eastAsia"/>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rPr>
            </w:pPr>
            <w:r>
              <w:rPr>
                <w:rFonts w:hint="eastAsia"/>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rPr>
            </w:pPr>
            <w:r>
              <w:rPr>
                <w:rFonts w:hint="eastAsia"/>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rPr>
            </w:pPr>
            <w:r>
              <w:rPr>
                <w:rFonts w:hint="eastAsia"/>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rPr>
            </w:pPr>
            <w:r>
              <w:rPr>
                <w:rFonts w:hint="eastAsia"/>
              </w:rPr>
              <w:t xml:space="preserve"> </w:t>
            </w:r>
            <w:r/>
          </w:p>
        </w:tc>
      </w:tr>
    </w:tbl>
    <w:p>
      <w:pPr>
        <w:tabs>
          <w:tab w:val="left" w:pos="9765" w:leader="none"/>
        </w:tabs>
        <w:rPr>
          <w:rFonts w:hint="eastAsia"/>
          <w:b/>
          <w:lang w:val="zh-CN"/>
        </w:rPr>
      </w:pPr>
      <w:r>
        <w:rPr>
          <w:rFonts w:hint="eastAsia"/>
          <w:b/>
          <w:lang w:val="zh-CN"/>
        </w:rPr>
      </w:r>
      <w:r/>
    </w:p>
    <w:p>
      <w:pPr>
        <w:spacing w:line="360" w:lineRule="auto"/>
        <w:tabs>
          <w:tab w:val="left" w:pos="9765" w:leader="none"/>
        </w:tabs>
        <w:rPr>
          <w:rFonts w:hint="eastAsia"/>
          <w:b/>
        </w:rPr>
      </w:pPr>
      <w:r>
        <w:rPr>
          <w:rFonts w:hint="eastAsia"/>
          <w:b/>
          <w:lang w:val="zh-CN"/>
        </w:rPr>
        <w:t xml:space="preserve">注：参加本项目人员须是供应商正式职工。</w:t>
      </w:r>
      <w:r/>
    </w:p>
    <w:p>
      <w:pPr>
        <w:spacing w:line="360" w:lineRule="auto"/>
        <w:rPr>
          <w:rFonts w:hint="eastAsia"/>
        </w:rPr>
      </w:pPr>
      <w:r>
        <w:rPr>
          <w:rFonts w:hint="eastAsia"/>
        </w:rPr>
      </w:r>
      <w:r/>
    </w:p>
    <w:p>
      <w:pPr>
        <w:pStyle w:val="907"/>
        <w:ind w:firstLine="4560"/>
        <w:rPr>
          <w:rFonts w:hint="eastAsia" w:ascii="宋体" w:hAnsi="宋体" w:cs="楷体"/>
          <w:color w:val="auto"/>
        </w:rPr>
      </w:pPr>
      <w:r>
        <w:rPr>
          <w:rFonts w:hint="eastAsia" w:ascii="宋体" w:hAnsi="宋体"/>
          <w:bCs/>
          <w:color w:val="auto"/>
        </w:rPr>
        <w:t xml:space="preserve">投标单位名称：</w:t>
      </w:r>
      <w:r>
        <w:rPr>
          <w:rFonts w:hint="eastAsia" w:ascii="宋体" w:hAnsi="宋体" w:cs="楷体"/>
          <w:color w:val="auto"/>
        </w:rPr>
        <w:t xml:space="preserve">（加盖CA电子公章）</w:t>
      </w:r>
      <w:r/>
    </w:p>
    <w:p>
      <w:pPr>
        <w:pStyle w:val="907"/>
        <w:ind w:firstLine="4560"/>
        <w:rPr>
          <w:rFonts w:hint="eastAsia" w:ascii="宋体" w:hAnsi="宋体"/>
          <w:color w:val="auto"/>
          <w:lang w:bidi="ar"/>
        </w:rPr>
      </w:pPr>
      <w:r>
        <w:rPr>
          <w:rFonts w:ascii="宋体" w:hAnsi="宋体" w:cs="黑体"/>
          <w:bCs/>
          <w:color w:val="auto"/>
          <w:lang w:bidi="ar"/>
        </w:rPr>
        <w:t xml:space="preserve">日期：_____年______月______日</w:t>
      </w:r>
      <w:r/>
    </w:p>
    <w:p>
      <w:pPr>
        <w:jc w:val="center"/>
        <w:rPr>
          <w:rFonts w:hint="eastAsia"/>
          <w:b/>
          <w:sz w:val="32"/>
          <w:szCs w:val="32"/>
        </w:rPr>
      </w:pPr>
      <w:r>
        <w:rPr>
          <w:sz w:val="22"/>
        </w:rPr>
        <w:br w:type="page" w:clear="all"/>
      </w:r>
      <w:r>
        <w:rPr>
          <w:b/>
          <w:sz w:val="32"/>
          <w:szCs w:val="32"/>
        </w:rPr>
        <w:t xml:space="preserve">2、</w:t>
      </w:r>
      <w:r>
        <w:rPr>
          <w:rFonts w:hint="eastAsia"/>
          <w:b/>
          <w:sz w:val="32"/>
          <w:szCs w:val="32"/>
        </w:rPr>
        <w:t xml:space="preserve">相关业绩案例一览表</w:t>
      </w:r>
      <w:r/>
    </w:p>
    <w:p>
      <w:pPr>
        <w:jc w:val="center"/>
        <w:spacing w:line="360" w:lineRule="auto"/>
        <w:rPr>
          <w:rFonts w:hint="eastAsia"/>
          <w:b/>
          <w:sz w:val="28"/>
          <w:szCs w:val="30"/>
        </w:rPr>
      </w:pPr>
      <w:r>
        <w:rPr>
          <w:rFonts w:hint="eastAsia"/>
          <w:b/>
          <w:sz w:val="28"/>
          <w:szCs w:val="30"/>
        </w:rPr>
      </w:r>
      <w:r/>
    </w:p>
    <w:p>
      <w:pPr>
        <w:ind w:firstLine="480"/>
        <w:spacing w:line="360" w:lineRule="auto"/>
        <w:rPr>
          <w:rFonts w:hint="eastAsia"/>
        </w:rPr>
      </w:pPr>
      <w:r>
        <w:rPr>
          <w:rFonts w:hint="eastAsia"/>
        </w:rPr>
        <w:t xml:space="preserve">项目编号</w:t>
      </w:r>
      <w:r>
        <w:rPr>
          <w:rFonts w:hint="eastAsia"/>
        </w:rPr>
        <w:t xml:space="preserve">/包号</w:t>
      </w:r>
      <w:r>
        <w:rPr>
          <w:rFonts w:hint="eastAsia"/>
        </w:rPr>
        <w:t xml:space="preserve">：</w:t>
      </w:r>
      <w:r>
        <w:rPr>
          <w:rFonts w:hint="eastAsia"/>
          <w:u w:val="single"/>
        </w:rPr>
        <w:t xml:space="preserve">                   </w:t>
      </w:r>
      <w:r/>
    </w:p>
    <w:tbl>
      <w:tblPr>
        <w:tblW w:w="9011" w:type="dxa"/>
        <w:jc w:val="center"/>
        <w:tblLayout w:type="fixed"/>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hint="eastAsia"/>
                <w:lang w:val="zh-CN"/>
              </w:rPr>
            </w:pPr>
            <w:r>
              <w:rPr>
                <w:rFonts w:hint="eastAsia"/>
                <w:lang w:val="zh-CN"/>
              </w:rPr>
              <w:t xml:space="preserve">项目时间</w:t>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hint="eastAsia"/>
                <w:lang w:val="zh-CN"/>
              </w:rPr>
            </w:pPr>
            <w:r>
              <w:rPr>
                <w:rFonts w:hint="eastAsia"/>
                <w:lang w:val="zh-CN"/>
              </w:rPr>
              <w:t xml:space="preserve">项目甲方单位</w:t>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hint="eastAsia"/>
                <w:lang w:val="zh-CN"/>
              </w:rPr>
            </w:pPr>
            <w:r>
              <w:rPr>
                <w:rFonts w:hint="eastAsia"/>
                <w:lang w:val="zh-CN"/>
              </w:rPr>
              <w:t xml:space="preserve">项目名称</w:t>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hint="eastAsia"/>
                <w:lang w:val="zh-CN"/>
              </w:rPr>
            </w:pPr>
            <w:r>
              <w:rPr>
                <w:rFonts w:hint="eastAsia"/>
                <w:lang w:val="zh-CN"/>
              </w:rPr>
              <w:t xml:space="preserve">合同金额</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spacing w:line="360" w:lineRule="auto"/>
              <w:tabs>
                <w:tab w:val="left" w:pos="9765" w:leader="none"/>
              </w:tabs>
              <w:rPr>
                <w:rFonts w:hint="eastAsia"/>
                <w:lang w:val="zh-CN"/>
              </w:rPr>
            </w:pPr>
            <w:r>
              <w:rPr>
                <w:rFonts w:hint="eastAsia"/>
                <w:lang w:val="zh-CN"/>
              </w:rPr>
              <w:t xml:space="preserve">项目甲方</w:t>
            </w:r>
            <w:r>
              <w:rPr>
                <w:rFonts w:hint="eastAsia"/>
                <w:lang w:val="zh-CN"/>
              </w:rPr>
              <w:t xml:space="preserve">单位地址</w:t>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jc w:val="center"/>
              <w:spacing w:line="360" w:lineRule="auto"/>
              <w:tabs>
                <w:tab w:val="left" w:pos="9765" w:leader="none"/>
              </w:tabs>
              <w:rPr>
                <w:rFonts w:hint="eastAsia"/>
                <w:lang w:val="zh-CN"/>
              </w:rPr>
            </w:pPr>
            <w:r>
              <w:rPr>
                <w:rFonts w:hint="eastAsia"/>
                <w:lang w:val="zh-CN"/>
              </w:rPr>
              <w:t xml:space="preserve">项目甲方</w:t>
            </w:r>
            <w:r>
              <w:rPr>
                <w:rFonts w:hint="eastAsia"/>
                <w:lang w:val="zh-CN"/>
              </w:rPr>
              <w:t xml:space="preserve">联系电话</w:t>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hint="eastAsia"/>
              </w:rPr>
            </w:pPr>
            <w:r>
              <w:rPr>
                <w:rFonts w:hint="eastAsia"/>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hint="eastAsia"/>
              </w:rPr>
            </w:pPr>
            <w:r>
              <w:rPr>
                <w:rFonts w:hint="eastAsia"/>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hint="eastAsia"/>
              </w:rPr>
            </w:pPr>
            <w:r>
              <w:rPr>
                <w:rFonts w:hint="eastAsia"/>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hint="eastAsia"/>
              </w:rPr>
            </w:pPr>
            <w:r>
              <w:rPr>
                <w:rFonts w:hint="eastAsia"/>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ind w:hanging="523"/>
              <w:jc w:val="center"/>
              <w:spacing w:line="360" w:lineRule="auto"/>
              <w:tabs>
                <w:tab w:val="left" w:pos="9765" w:leader="none"/>
              </w:tabs>
              <w:rPr>
                <w:rFonts w:hint="eastAsia"/>
              </w:rPr>
            </w:pPr>
            <w:r>
              <w:rPr>
                <w:rFonts w:hint="eastAsia"/>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ind w:hanging="523"/>
              <w:jc w:val="center"/>
              <w:spacing w:line="360" w:lineRule="auto"/>
              <w:tabs>
                <w:tab w:val="left" w:pos="9765" w:leader="none"/>
              </w:tabs>
              <w:rPr>
                <w:rFonts w:hint="eastAsia"/>
              </w:rPr>
            </w:pPr>
            <w:r>
              <w:rPr>
                <w:rFonts w:hint="eastAsia"/>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rPr>
            </w:pPr>
            <w:r>
              <w:rPr>
                <w:rFonts w:hint="eastAsia"/>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rPr>
            </w:pPr>
            <w:r>
              <w:rPr>
                <w:rFonts w:hint="eastAsia"/>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rPr>
            </w:pPr>
            <w:r>
              <w:rPr>
                <w:rFonts w:hint="eastAsia"/>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rPr>
            </w:pPr>
            <w:r>
              <w:rPr>
                <w:rFonts w:hint="eastAsia"/>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rPr>
            </w:pPr>
            <w:r>
              <w:rPr>
                <w:rFonts w:hint="eastAsia"/>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rPr>
            </w:pPr>
            <w:r>
              <w:rPr>
                <w:rFonts w:hint="eastAsia"/>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rPr>
            </w:pPr>
            <w:r>
              <w:rPr>
                <w:rFonts w:hint="eastAsia"/>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rPr>
            </w:pPr>
            <w:r>
              <w:rPr>
                <w:rFonts w:hint="eastAsia"/>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rPr>
            </w:pPr>
            <w:r>
              <w:rPr>
                <w:rFonts w:hint="eastAsia"/>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rPr>
            </w:pPr>
            <w:r>
              <w:rPr>
                <w:rFonts w:hint="eastAsia"/>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rPr>
            </w:pPr>
            <w:r>
              <w:rPr>
                <w:rFonts w:hint="eastAsia"/>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rPr>
            </w:pPr>
            <w:r>
              <w:rPr>
                <w:rFonts w:hint="eastAsia"/>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rPr>
            </w:pPr>
            <w:r>
              <w:rPr>
                <w:rFonts w:hint="eastAsia"/>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rPr>
            </w:pPr>
            <w:r>
              <w:rPr>
                <w:rFonts w:hint="eastAsia"/>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rPr>
            </w:pPr>
            <w:r>
              <w:rPr>
                <w:rFonts w:hint="eastAsia"/>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rPr>
            </w:pPr>
            <w:r>
              <w:rPr>
                <w:rFonts w:hint="eastAsia"/>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rPr>
            </w:pPr>
            <w:r>
              <w:rPr>
                <w:rFonts w:hint="eastAsia"/>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rPr>
            </w:pPr>
            <w:r>
              <w:rPr>
                <w:rFonts w:hint="eastAsia"/>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rPr>
            </w:pPr>
            <w:r>
              <w:rPr>
                <w:rFonts w:hint="eastAsia"/>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rPr>
            </w:pPr>
            <w:r>
              <w:rPr>
                <w:rFonts w:hint="eastAsia"/>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rPr>
            </w:pPr>
            <w:r>
              <w:rPr>
                <w:rFonts w:hint="eastAsia"/>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rPr>
            </w:pPr>
            <w:r>
              <w:rPr>
                <w:rFonts w:hint="eastAsia"/>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rPr>
            </w:pPr>
            <w:r>
              <w:rPr>
                <w:rFonts w:hint="eastAsia"/>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rPr>
            </w:pPr>
            <w:r>
              <w:rPr>
                <w:rFonts w:hint="eastAsia"/>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rPr>
            </w:pPr>
            <w:r>
              <w:rPr>
                <w:rFonts w:hint="eastAsia"/>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rPr>
            </w:pPr>
            <w:r>
              <w:rPr>
                <w:rFonts w:hint="eastAsia"/>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rPr>
            </w:pPr>
            <w:r>
              <w:rPr>
                <w:rFonts w:hint="eastAsia"/>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rPr>
            </w:pPr>
            <w:r>
              <w:rPr>
                <w:rFonts w:hint="eastAsia"/>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rPr>
            </w:pPr>
            <w:r>
              <w:rPr>
                <w:rFonts w:hint="eastAsia"/>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rPr>
            </w:pPr>
            <w:r>
              <w:rPr>
                <w:rFonts w:hint="eastAsia"/>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rPr>
            </w:pPr>
            <w:r>
              <w:rPr>
                <w:rFonts w:hint="eastAsia"/>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rPr>
            </w:pPr>
            <w:r>
              <w:rPr>
                <w:rFonts w:hint="eastAsia"/>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rPr>
            </w:pPr>
            <w:r>
              <w:rPr>
                <w:rFonts w:hint="eastAsia"/>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rPr>
            </w:pPr>
            <w:r>
              <w:rPr>
                <w:rFonts w:hint="eastAsia"/>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rPr>
            </w:pPr>
            <w:r>
              <w:rPr>
                <w:rFonts w:hint="eastAsia"/>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rPr>
            </w:pPr>
            <w:r>
              <w:rPr>
                <w:rFonts w:hint="eastAsia"/>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rPr>
            </w:pPr>
            <w:r>
              <w:rPr>
                <w:rFonts w:hint="eastAsia"/>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rPr>
            </w:pPr>
            <w:r>
              <w:rPr>
                <w:rFonts w:hint="eastAsia"/>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rPr>
            </w:pPr>
            <w:r>
              <w:rPr>
                <w:rFonts w:hint="eastAsia"/>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rPr>
            </w:pPr>
            <w:r>
              <w:rPr>
                <w:rFonts w:hint="eastAsia"/>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rPr>
            </w:pPr>
            <w:r>
              <w:rPr>
                <w:rFonts w:hint="eastAsia"/>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rPr>
            </w:pPr>
            <w:r>
              <w:rPr>
                <w:rFonts w:hint="eastAsia"/>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rPr>
            </w:pPr>
            <w:r>
              <w:rPr>
                <w:rFonts w:hint="eastAsia"/>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rPr>
            </w:pPr>
            <w:r>
              <w:rPr>
                <w:rFonts w:hint="eastAsia"/>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rPr>
            </w:pPr>
            <w:r>
              <w:rPr>
                <w:rFonts w:hint="eastAsia"/>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rPr>
            </w:pPr>
            <w:r>
              <w:rPr>
                <w:rFonts w:hint="eastAsia"/>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rPr>
            </w:pPr>
            <w:r>
              <w:rPr>
                <w:rFonts w:hint="eastAsia"/>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rPr>
            </w:pPr>
            <w:r>
              <w:rPr>
                <w:rFonts w:hint="eastAsia"/>
              </w:rPr>
            </w:r>
            <w:r/>
          </w:p>
        </w:tc>
      </w:tr>
    </w:tbl>
    <w:p>
      <w:pPr>
        <w:tabs>
          <w:tab w:val="left" w:pos="9765" w:leader="none"/>
        </w:tabs>
        <w:rPr>
          <w:rFonts w:hint="eastAsia"/>
          <w:lang w:val="zh-CN"/>
        </w:rPr>
      </w:pPr>
      <w:r>
        <w:rPr>
          <w:rFonts w:hint="eastAsia"/>
          <w:lang w:val="zh-CN"/>
        </w:rPr>
      </w:r>
      <w:r/>
    </w:p>
    <w:p>
      <w:pPr>
        <w:spacing w:line="360" w:lineRule="auto"/>
        <w:rPr>
          <w:rFonts w:hint="eastAsia"/>
        </w:rPr>
      </w:pPr>
      <w:r>
        <w:rPr>
          <w:rFonts w:hint="eastAsia"/>
        </w:rPr>
      </w:r>
      <w:r/>
    </w:p>
    <w:p>
      <w:pPr>
        <w:ind w:firstLine="4800"/>
        <w:spacing w:line="360" w:lineRule="auto"/>
        <w:rPr>
          <w:rFonts w:hint="eastAsia" w:cs="黑体"/>
          <w:bCs/>
          <w:lang w:bidi="ar"/>
        </w:rPr>
      </w:pPr>
      <w:r>
        <w:rPr>
          <w:rFonts w:hint="eastAsia"/>
          <w:bCs/>
        </w:rPr>
        <w:t xml:space="preserve">投标单位名称：</w:t>
      </w:r>
      <w:r>
        <w:rPr>
          <w:rFonts w:hint="eastAsia" w:cs="楷体"/>
        </w:rPr>
        <w:t xml:space="preserve">（加盖CA电子公章）</w:t>
      </w:r>
      <w:r>
        <w:rPr>
          <w:rFonts w:hint="eastAsia" w:cs="黑体"/>
          <w:bCs/>
          <w:lang w:bidi="ar"/>
        </w:rPr>
        <w:t xml:space="preserve">  </w:t>
      </w:r>
      <w:r/>
    </w:p>
    <w:p>
      <w:pPr>
        <w:pStyle w:val="907"/>
        <w:ind w:firstLine="5040"/>
        <w:rPr>
          <w:rFonts w:hint="eastAsia" w:ascii="宋体" w:hAnsi="宋体"/>
          <w:color w:val="auto"/>
          <w:lang w:bidi="ar"/>
        </w:rPr>
      </w:pPr>
      <w:r>
        <w:rPr>
          <w:rFonts w:ascii="宋体" w:hAnsi="宋体" w:cs="黑体"/>
          <w:bCs/>
          <w:color w:val="auto"/>
          <w:lang w:bidi="ar"/>
        </w:rPr>
        <w:t xml:space="preserve">日期：_____年______月______日</w:t>
      </w:r>
      <w:r/>
    </w:p>
    <w:p>
      <w:pPr>
        <w:keepLines/>
        <w:keepNext/>
        <w:spacing w:before="260" w:after="260" w:line="415" w:lineRule="auto"/>
        <w:rPr>
          <w:rFonts w:hint="eastAsia"/>
          <w:b/>
        </w:rPr>
        <w:outlineLvl w:val="2"/>
      </w:pPr>
      <w:r>
        <w:rPr>
          <w:rFonts w:hint="eastAsia"/>
          <w:b/>
        </w:rPr>
      </w:r>
      <w:r/>
    </w:p>
    <w:p>
      <w:pPr>
        <w:pStyle w:val="907"/>
        <w:rPr>
          <w:rFonts w:hint="eastAsia" w:ascii="宋体" w:hAnsi="宋体"/>
          <w:color w:val="auto"/>
        </w:rPr>
      </w:pPr>
      <w:r>
        <w:rPr>
          <w:rFonts w:hint="eastAsia" w:ascii="宋体" w:hAnsi="宋体"/>
          <w:color w:val="auto"/>
        </w:rPr>
      </w:r>
      <w:r/>
    </w:p>
    <w:p>
      <w:pPr>
        <w:pStyle w:val="907"/>
        <w:rPr>
          <w:rFonts w:hint="eastAsia" w:ascii="宋体" w:hAnsi="宋体"/>
          <w:color w:val="auto"/>
        </w:rPr>
      </w:pPr>
      <w:r>
        <w:rPr>
          <w:rFonts w:hint="eastAsia" w:ascii="宋体" w:hAnsi="宋体"/>
          <w:color w:val="auto"/>
        </w:rPr>
      </w:r>
      <w:r/>
    </w:p>
    <w:p>
      <w:pPr>
        <w:pStyle w:val="907"/>
        <w:rPr>
          <w:rFonts w:hint="eastAsia" w:ascii="宋体" w:hAnsi="宋体"/>
          <w:color w:val="auto"/>
        </w:rPr>
      </w:pPr>
      <w:r>
        <w:rPr>
          <w:rFonts w:hint="eastAsia" w:ascii="宋体" w:hAnsi="宋体"/>
          <w:color w:val="auto"/>
        </w:rPr>
      </w:r>
      <w:r/>
    </w:p>
    <w:p>
      <w:pPr>
        <w:pStyle w:val="907"/>
        <w:rPr>
          <w:rFonts w:hint="eastAsia" w:ascii="宋体" w:hAnsi="宋体"/>
          <w:color w:val="auto"/>
        </w:rPr>
      </w:pPr>
      <w:r>
        <w:rPr>
          <w:rFonts w:hint="eastAsia" w:ascii="宋体" w:hAnsi="宋体"/>
          <w:color w:val="auto"/>
        </w:rPr>
      </w:r>
      <w:r/>
    </w:p>
    <w:p>
      <w:pPr>
        <w:pStyle w:val="907"/>
        <w:rPr>
          <w:rFonts w:hint="eastAsia" w:ascii="宋体" w:hAnsi="宋体"/>
          <w:color w:val="auto"/>
        </w:rPr>
      </w:pPr>
      <w:r>
        <w:rPr>
          <w:rFonts w:hint="eastAsia" w:ascii="宋体" w:hAnsi="宋体"/>
          <w:color w:val="auto"/>
        </w:rPr>
      </w:r>
      <w:r/>
    </w:p>
    <w:p>
      <w:pPr>
        <w:pStyle w:val="907"/>
        <w:rPr>
          <w:rFonts w:hint="eastAsia" w:ascii="宋体" w:hAnsi="宋体"/>
          <w:color w:val="auto"/>
        </w:rPr>
      </w:pPr>
      <w:r>
        <w:rPr>
          <w:rFonts w:hint="eastAsia" w:ascii="宋体" w:hAnsi="宋体"/>
          <w:color w:val="auto"/>
        </w:rPr>
      </w:r>
      <w:r/>
    </w:p>
    <w:p>
      <w:pPr>
        <w:pStyle w:val="907"/>
        <w:rPr>
          <w:rFonts w:hint="eastAsia" w:ascii="宋体" w:hAnsi="宋体"/>
          <w:color w:val="auto"/>
        </w:rPr>
      </w:pPr>
      <w:r>
        <w:rPr>
          <w:rFonts w:hint="eastAsia" w:ascii="宋体" w:hAnsi="宋体"/>
          <w:color w:val="auto"/>
        </w:rPr>
      </w:r>
      <w:r/>
    </w:p>
    <w:p>
      <w:pPr>
        <w:pStyle w:val="907"/>
        <w:rPr>
          <w:rFonts w:hint="eastAsia" w:ascii="宋体" w:hAnsi="宋体"/>
          <w:color w:val="auto"/>
        </w:rPr>
      </w:pPr>
      <w:r>
        <w:rPr>
          <w:rFonts w:hint="eastAsia" w:ascii="宋体" w:hAnsi="宋体"/>
          <w:color w:val="auto"/>
        </w:rPr>
      </w:r>
      <w:r/>
    </w:p>
    <w:p>
      <w:pPr>
        <w:pStyle w:val="907"/>
        <w:rPr>
          <w:rFonts w:hint="eastAsia" w:ascii="宋体" w:hAnsi="宋体"/>
          <w:color w:val="auto"/>
        </w:rPr>
      </w:pPr>
      <w:r>
        <w:rPr>
          <w:rFonts w:hint="eastAsia" w:ascii="宋体" w:hAnsi="宋体"/>
          <w:color w:val="auto"/>
        </w:rPr>
      </w:r>
      <w:r/>
    </w:p>
    <w:p>
      <w:pPr>
        <w:pStyle w:val="907"/>
        <w:rPr>
          <w:rFonts w:hint="eastAsia" w:ascii="宋体" w:hAnsi="宋体"/>
          <w:color w:val="auto"/>
        </w:rPr>
      </w:pPr>
      <w:r>
        <w:rPr>
          <w:rFonts w:hint="eastAsia" w:ascii="宋体" w:hAnsi="宋体"/>
          <w:color w:val="auto"/>
        </w:rPr>
      </w:r>
      <w:r/>
    </w:p>
    <w:p>
      <w:pPr>
        <w:pStyle w:val="907"/>
        <w:rPr>
          <w:rFonts w:hint="eastAsia" w:ascii="宋体" w:hAnsi="宋体"/>
          <w:color w:val="auto"/>
        </w:rPr>
      </w:pPr>
      <w:r>
        <w:rPr>
          <w:rFonts w:hint="eastAsia" w:ascii="宋体" w:hAnsi="宋体"/>
          <w:color w:val="auto"/>
        </w:rPr>
      </w:r>
      <w:r/>
    </w:p>
    <w:p>
      <w:pPr>
        <w:pStyle w:val="907"/>
        <w:rPr>
          <w:rFonts w:hint="eastAsia" w:ascii="宋体" w:hAnsi="宋体"/>
          <w:color w:val="auto"/>
        </w:rPr>
      </w:pPr>
      <w:r>
        <w:rPr>
          <w:rFonts w:hint="eastAsia" w:ascii="宋体" w:hAnsi="宋体"/>
          <w:color w:val="auto"/>
        </w:rPr>
      </w:r>
      <w:r/>
    </w:p>
    <w:p>
      <w:pPr>
        <w:pStyle w:val="907"/>
        <w:rPr>
          <w:rFonts w:hint="eastAsia" w:ascii="宋体" w:hAnsi="宋体"/>
          <w:color w:val="auto"/>
        </w:rPr>
      </w:pPr>
      <w:r>
        <w:rPr>
          <w:rFonts w:hint="eastAsia" w:ascii="宋体" w:hAnsi="宋体"/>
          <w:color w:val="auto"/>
        </w:rPr>
      </w:r>
      <w:r/>
    </w:p>
    <w:p>
      <w:pPr>
        <w:pStyle w:val="907"/>
        <w:rPr>
          <w:rFonts w:hint="eastAsia" w:ascii="宋体" w:hAnsi="宋体"/>
          <w:color w:val="auto"/>
        </w:rPr>
      </w:pPr>
      <w:r>
        <w:rPr>
          <w:rFonts w:hint="eastAsia" w:ascii="宋体" w:hAnsi="宋体"/>
          <w:color w:val="auto"/>
        </w:rPr>
      </w:r>
      <w:r/>
    </w:p>
    <w:p>
      <w:pPr>
        <w:jc w:val="center"/>
        <w:spacing w:line="360" w:lineRule="auto"/>
        <w:rPr>
          <w:rFonts w:hint="eastAsia"/>
          <w:b/>
          <w:spacing w:val="20"/>
          <w:sz w:val="32"/>
          <w:szCs w:val="32"/>
        </w:rPr>
      </w:pPr>
      <w:r>
        <w:rPr>
          <w:rFonts w:hint="eastAsia"/>
          <w:b/>
          <w:spacing w:val="20"/>
          <w:sz w:val="32"/>
          <w:szCs w:val="32"/>
        </w:rPr>
        <w:t xml:space="preserve">3、</w:t>
      </w:r>
      <w:r>
        <w:rPr>
          <w:rFonts w:hint="eastAsia"/>
          <w:b/>
          <w:spacing w:val="20"/>
          <w:sz w:val="32"/>
          <w:szCs w:val="32"/>
        </w:rPr>
        <w:t xml:space="preserve">关于招标文件的询问内容</w:t>
      </w:r>
      <w:r/>
    </w:p>
    <w:p>
      <w:pPr>
        <w:spacing w:line="360" w:lineRule="auto"/>
        <w:rPr>
          <w:rFonts w:hint="eastAsia"/>
        </w:rPr>
      </w:pPr>
      <w:r>
        <w:rPr>
          <w:rFonts w:hint="eastAsia"/>
        </w:rPr>
      </w:r>
      <w:r/>
    </w:p>
    <w:p>
      <w:pPr>
        <w:spacing w:line="360" w:lineRule="auto"/>
        <w:rPr>
          <w:rFonts w:hint="eastAsia"/>
          <w:u w:val="single"/>
        </w:rPr>
      </w:pPr>
      <w:r>
        <w:rPr>
          <w:rFonts w:hint="eastAsia"/>
        </w:rPr>
        <w:t xml:space="preserve">项目名称：</w:t>
      </w:r>
      <w:r/>
    </w:p>
    <w:p>
      <w:pPr>
        <w:spacing w:line="360" w:lineRule="auto"/>
        <w:rPr>
          <w:rFonts w:hint="eastAsia"/>
        </w:rPr>
      </w:pPr>
      <w:r>
        <w:rPr>
          <w:rFonts w:hint="eastAsia"/>
        </w:rPr>
        <w:t xml:space="preserve">采购编号：</w:t>
      </w:r>
      <w:r/>
    </w:p>
    <w:p>
      <w:pPr>
        <w:spacing w:line="360" w:lineRule="auto"/>
        <w:rPr>
          <w:rFonts w:hint="eastAsia"/>
        </w:rPr>
      </w:pPr>
      <w:r>
        <w:rPr>
          <w:rFonts w:hint="eastAsia"/>
        </w:rPr>
        <w:t xml:space="preserve">内容：</w:t>
      </w:r>
      <w:r/>
    </w:p>
    <w:p>
      <w:pPr>
        <w:spacing w:line="360" w:lineRule="auto"/>
        <w:rPr>
          <w:rFonts w:hint="eastAsia"/>
          <w:b/>
          <w:u w:val="single"/>
        </w:rPr>
      </w:pPr>
      <w:r>
        <w:rPr>
          <w:rFonts w:hint="eastAsia"/>
          <w:b/>
          <w:u w:val="single"/>
        </w:rPr>
      </w:r>
      <w:r/>
    </w:p>
    <w:p>
      <w:pPr>
        <w:spacing w:line="360" w:lineRule="auto"/>
        <w:rPr>
          <w:rFonts w:hint="eastAsia"/>
          <w:b/>
          <w:u w:val="single"/>
        </w:rPr>
      </w:pPr>
      <w:r>
        <w:rPr>
          <w:rFonts w:hint="eastAsia"/>
          <w:b/>
          <w:u w:val="single"/>
        </w:rPr>
      </w:r>
      <w:r/>
    </w:p>
    <w:p>
      <w:pPr>
        <w:spacing w:line="360" w:lineRule="auto"/>
        <w:rPr>
          <w:rFonts w:hint="eastAsia"/>
          <w:b/>
          <w:u w:val="single"/>
        </w:rPr>
      </w:pPr>
      <w:r>
        <w:rPr>
          <w:rFonts w:hint="eastAsia"/>
          <w:b/>
          <w:u w:val="single"/>
        </w:rPr>
      </w:r>
      <w:r/>
    </w:p>
    <w:p>
      <w:pPr>
        <w:spacing w:line="360" w:lineRule="auto"/>
        <w:rPr>
          <w:rFonts w:hint="eastAsia"/>
        </w:rPr>
      </w:pPr>
      <w:r>
        <w:rPr>
          <w:rFonts w:hint="eastAsia"/>
        </w:rPr>
        <w:t xml:space="preserve">被授权人姓名：</w:t>
      </w:r>
      <w:r>
        <w:rPr>
          <w:u w:val="single"/>
        </w:rPr>
        <w:t xml:space="preserve">                   </w:t>
      </w:r>
      <w:r/>
    </w:p>
    <w:p>
      <w:pPr>
        <w:spacing w:line="360" w:lineRule="auto"/>
        <w:tabs>
          <w:tab w:val="left" w:pos="360" w:leader="none"/>
        </w:tabs>
        <w:rPr>
          <w:rFonts w:hint="eastAsia"/>
          <w:u w:val="single"/>
        </w:rPr>
      </w:pPr>
      <w:r>
        <w:rPr>
          <w:rFonts w:hint="eastAsia"/>
        </w:rPr>
        <w:t xml:space="preserve">被授权人身份证号码：</w:t>
      </w:r>
      <w:r>
        <w:rPr>
          <w:u w:val="single"/>
        </w:rPr>
        <w:t xml:space="preserve">                              </w:t>
      </w:r>
      <w:r/>
    </w:p>
    <w:p>
      <w:pPr>
        <w:spacing w:line="360" w:lineRule="auto"/>
        <w:tabs>
          <w:tab w:val="left" w:pos="360" w:leader="none"/>
        </w:tabs>
        <w:rPr>
          <w:rFonts w:hint="eastAsia"/>
          <w:u w:val="single"/>
        </w:rPr>
      </w:pPr>
      <w:r>
        <w:rPr>
          <w:rFonts w:hint="eastAsia"/>
        </w:rPr>
        <w:t xml:space="preserve">被授权人联系电话：（手机）</w:t>
      </w:r>
      <w:r>
        <w:rPr>
          <w:u w:val="single"/>
        </w:rPr>
        <w:t xml:space="preserve">                          </w:t>
      </w:r>
      <w:r/>
    </w:p>
    <w:p>
      <w:pPr>
        <w:pStyle w:val="907"/>
        <w:rPr>
          <w:rFonts w:hint="eastAsia" w:ascii="宋体" w:hAnsi="宋体"/>
          <w:color w:val="auto"/>
        </w:rPr>
      </w:pPr>
      <w:r>
        <w:rPr>
          <w:rFonts w:hint="eastAsia" w:ascii="宋体" w:hAnsi="宋体"/>
          <w:color w:val="auto"/>
        </w:rPr>
      </w:r>
      <w:r/>
    </w:p>
    <w:p>
      <w:pPr>
        <w:pStyle w:val="907"/>
        <w:rPr>
          <w:rFonts w:hint="eastAsia" w:ascii="宋体" w:hAnsi="宋体"/>
          <w:color w:val="auto"/>
        </w:rPr>
      </w:pPr>
      <w:r>
        <w:rPr>
          <w:rFonts w:hint="eastAsia" w:ascii="宋体" w:hAnsi="宋体"/>
          <w:color w:val="auto"/>
        </w:rPr>
      </w:r>
      <w:r/>
    </w:p>
    <w:p>
      <w:pPr>
        <w:pStyle w:val="907"/>
        <w:rPr>
          <w:rFonts w:hint="eastAsia" w:ascii="宋体" w:hAnsi="宋体"/>
          <w:color w:val="auto"/>
        </w:rPr>
      </w:pPr>
      <w:r>
        <w:rPr>
          <w:rFonts w:hint="eastAsia" w:ascii="宋体" w:hAnsi="宋体"/>
          <w:color w:val="auto"/>
        </w:rPr>
      </w:r>
      <w:r/>
    </w:p>
    <w:p>
      <w:pPr>
        <w:pStyle w:val="907"/>
        <w:rPr>
          <w:rFonts w:hint="eastAsia" w:ascii="宋体" w:hAnsi="宋体"/>
          <w:color w:val="auto"/>
        </w:rPr>
      </w:pPr>
      <w:r>
        <w:rPr>
          <w:rFonts w:hint="eastAsia" w:ascii="宋体" w:hAnsi="宋体"/>
          <w:color w:val="auto"/>
        </w:rPr>
      </w:r>
      <w:r/>
    </w:p>
    <w:p>
      <w:pPr>
        <w:spacing w:line="360" w:lineRule="auto"/>
        <w:rPr>
          <w:rFonts w:hint="eastAsia"/>
          <w:b/>
          <w:u w:val="single"/>
        </w:rPr>
      </w:pPr>
      <w:r>
        <w:rPr>
          <w:rFonts w:hint="eastAsia"/>
          <w:b/>
          <w:u w:val="single"/>
        </w:rPr>
      </w:r>
      <w:r/>
    </w:p>
    <w:p>
      <w:pPr>
        <w:ind w:left="3360" w:firstLine="960"/>
        <w:spacing w:line="360" w:lineRule="auto"/>
        <w:rPr>
          <w:rFonts w:hint="eastAsia" w:cs="楷体"/>
        </w:rPr>
      </w:pPr>
      <w:r>
        <w:rPr>
          <w:rFonts w:hint="eastAsia"/>
          <w:bCs/>
        </w:rPr>
        <w:t xml:space="preserve">投标单位名称：</w:t>
      </w:r>
      <w:r>
        <w:rPr>
          <w:rFonts w:hint="eastAsia" w:cs="楷体"/>
        </w:rPr>
        <w:t xml:space="preserve">（加盖公章）</w:t>
      </w:r>
      <w:r/>
    </w:p>
    <w:p>
      <w:pPr>
        <w:ind w:left="3360" w:firstLine="420"/>
        <w:spacing w:line="360" w:lineRule="auto"/>
        <w:rPr>
          <w:rFonts w:hint="eastAsia"/>
        </w:rPr>
      </w:pPr>
      <w:r>
        <w:rPr>
          <w:rFonts w:hint="eastAsia"/>
        </w:rPr>
        <w:t xml:space="preserve">法定代表人或</w:t>
      </w:r>
      <w:r>
        <w:rPr>
          <w:rFonts w:hint="eastAsia"/>
        </w:rPr>
        <w:t xml:space="preserve">被</w:t>
      </w:r>
      <w:r>
        <w:rPr>
          <w:rFonts w:hint="eastAsia"/>
        </w:rPr>
        <w:t xml:space="preserve">授权</w:t>
      </w:r>
      <w:r>
        <w:rPr>
          <w:rFonts w:hint="eastAsia"/>
        </w:rPr>
        <w:t xml:space="preserve">人</w:t>
      </w:r>
      <w:r>
        <w:rPr>
          <w:rFonts w:hint="eastAsia"/>
        </w:rPr>
        <w:t xml:space="preserve">（签名或盖章）：</w:t>
      </w:r>
      <w:r/>
    </w:p>
    <w:p>
      <w:pPr>
        <w:ind w:firstLine="4800"/>
        <w:spacing w:line="360" w:lineRule="auto"/>
        <w:rPr>
          <w:rFonts w:hint="eastAsia"/>
          <w:sz w:val="20"/>
          <w:szCs w:val="20"/>
        </w:rPr>
      </w:pPr>
      <w:r>
        <w:rPr>
          <w:rFonts w:hint="eastAsia"/>
        </w:rPr>
        <w:t xml:space="preserve">时间：    年   月  日</w:t>
      </w:r>
      <w:r/>
    </w:p>
    <w:p>
      <w:pPr>
        <w:pStyle w:val="907"/>
        <w:rPr>
          <w:rFonts w:hint="eastAsia" w:ascii="宋体" w:hAnsi="宋体"/>
          <w:color w:val="auto"/>
        </w:rPr>
      </w:pPr>
      <w:r>
        <w:rPr>
          <w:rFonts w:hint="eastAsia" w:ascii="宋体" w:hAnsi="宋体"/>
          <w:color w:val="auto"/>
        </w:rPr>
      </w:r>
      <w:r/>
    </w:p>
    <w:p>
      <w:pPr>
        <w:pStyle w:val="907"/>
        <w:rPr>
          <w:rFonts w:hint="eastAsia" w:ascii="宋体" w:hAnsi="宋体"/>
          <w:color w:val="auto"/>
        </w:rPr>
      </w:pPr>
      <w:r>
        <w:rPr>
          <w:rFonts w:hint="eastAsia" w:ascii="宋体" w:hAnsi="宋体"/>
          <w:color w:val="auto"/>
        </w:rPr>
      </w:r>
      <w:r/>
    </w:p>
    <w:p>
      <w:pPr>
        <w:pStyle w:val="907"/>
        <w:rPr>
          <w:rFonts w:hint="eastAsia" w:ascii="宋体" w:hAnsi="宋体"/>
          <w:color w:val="auto"/>
        </w:rPr>
      </w:pPr>
      <w:r>
        <w:rPr>
          <w:rFonts w:hint="eastAsia" w:ascii="宋体" w:hAnsi="宋体"/>
          <w:color w:val="auto"/>
        </w:rPr>
      </w:r>
      <w:r/>
    </w:p>
    <w:p>
      <w:pPr>
        <w:pStyle w:val="907"/>
        <w:rPr>
          <w:rFonts w:hint="eastAsia" w:ascii="宋体" w:hAnsi="宋体"/>
          <w:color w:val="auto"/>
        </w:rPr>
      </w:pPr>
      <w:r>
        <w:rPr>
          <w:rFonts w:hint="eastAsia" w:ascii="宋体" w:hAnsi="宋体"/>
          <w:color w:val="auto"/>
        </w:rPr>
      </w:r>
      <w:r/>
    </w:p>
    <w:p>
      <w:pPr>
        <w:pStyle w:val="907"/>
        <w:rPr>
          <w:rFonts w:hint="eastAsia" w:ascii="宋体" w:hAnsi="宋体"/>
          <w:color w:val="auto"/>
        </w:rPr>
      </w:pPr>
      <w:r>
        <w:rPr>
          <w:rFonts w:hint="eastAsia" w:ascii="宋体" w:hAnsi="宋体"/>
          <w:color w:val="auto"/>
        </w:rPr>
      </w:r>
      <w:r/>
    </w:p>
    <w:p>
      <w:pPr>
        <w:rPr>
          <w:rFonts w:hint="eastAsia"/>
          <w:b/>
          <w:spacing w:val="20"/>
          <w:sz w:val="32"/>
          <w:szCs w:val="32"/>
        </w:rPr>
      </w:pPr>
      <w:r>
        <w:rPr>
          <w:rFonts w:hint="eastAsia"/>
          <w:b/>
          <w:spacing w:val="20"/>
          <w:sz w:val="32"/>
          <w:szCs w:val="32"/>
        </w:rPr>
      </w:r>
      <w:r/>
    </w:p>
    <w:p>
      <w:pPr>
        <w:pStyle w:val="907"/>
        <w:rPr>
          <w:rFonts w:hint="eastAsia"/>
          <w:color w:val="auto"/>
        </w:rPr>
      </w:pPr>
      <w:r>
        <w:rPr>
          <w:rFonts w:hint="eastAsia"/>
          <w:color w:val="auto"/>
        </w:rPr>
      </w:r>
      <w:r/>
    </w:p>
    <w:p>
      <w:pPr>
        <w:pStyle w:val="907"/>
        <w:rPr>
          <w:rFonts w:hint="eastAsia"/>
          <w:color w:val="auto"/>
        </w:rPr>
      </w:pPr>
      <w:r>
        <w:rPr>
          <w:rFonts w:hint="eastAsia"/>
          <w:color w:val="auto"/>
        </w:rPr>
      </w:r>
      <w:r/>
    </w:p>
    <w:p>
      <w:pPr>
        <w:pStyle w:val="907"/>
        <w:rPr>
          <w:rFonts w:hint="eastAsia"/>
          <w:color w:val="auto"/>
        </w:rPr>
      </w:pPr>
      <w:r>
        <w:rPr>
          <w:rFonts w:hint="eastAsia"/>
          <w:color w:val="auto"/>
        </w:rPr>
      </w:r>
      <w:r/>
    </w:p>
    <w:p>
      <w:pPr>
        <w:pStyle w:val="907"/>
        <w:rPr>
          <w:rFonts w:hint="eastAsia"/>
          <w:color w:val="auto"/>
        </w:rPr>
      </w:pPr>
      <w:r>
        <w:rPr>
          <w:rFonts w:hint="eastAsia"/>
          <w:color w:val="auto"/>
        </w:rPr>
      </w:r>
      <w:r/>
    </w:p>
    <w:p>
      <w:pPr>
        <w:pStyle w:val="907"/>
        <w:rPr>
          <w:rFonts w:hint="eastAsia"/>
          <w:color w:val="auto"/>
        </w:rPr>
      </w:pPr>
      <w:r>
        <w:rPr>
          <w:rFonts w:hint="eastAsia"/>
          <w:color w:val="auto"/>
        </w:rPr>
      </w:r>
      <w:r/>
    </w:p>
    <w:p>
      <w:pPr>
        <w:pStyle w:val="907"/>
        <w:rPr>
          <w:rFonts w:hint="eastAsia"/>
          <w:color w:val="auto"/>
        </w:rPr>
      </w:pPr>
      <w:r>
        <w:rPr>
          <w:rFonts w:hint="eastAsia"/>
          <w:color w:val="auto"/>
        </w:rPr>
      </w:r>
      <w:r/>
    </w:p>
    <w:p>
      <w:pPr>
        <w:pStyle w:val="907"/>
        <w:rPr>
          <w:rFonts w:hint="eastAsia"/>
          <w:color w:val="auto"/>
        </w:rPr>
      </w:pPr>
      <w:r>
        <w:rPr>
          <w:rFonts w:hint="eastAsia"/>
          <w:color w:val="auto"/>
        </w:rPr>
      </w:r>
      <w:r/>
    </w:p>
    <w:p>
      <w:pPr>
        <w:pStyle w:val="907"/>
        <w:rPr>
          <w:rFonts w:hint="eastAsia"/>
          <w:color w:val="auto"/>
        </w:rPr>
      </w:pPr>
      <w:r>
        <w:rPr>
          <w:rFonts w:hint="eastAsia"/>
          <w:color w:val="auto"/>
        </w:rPr>
      </w:r>
      <w:r/>
    </w:p>
    <w:p>
      <w:pPr>
        <w:pStyle w:val="907"/>
        <w:rPr>
          <w:rFonts w:hint="eastAsia"/>
          <w:color w:val="auto"/>
        </w:rPr>
      </w:pPr>
      <w:r>
        <w:rPr>
          <w:rFonts w:hint="eastAsia"/>
          <w:color w:val="auto"/>
        </w:rPr>
      </w:r>
      <w:r/>
    </w:p>
    <w:p>
      <w:pPr>
        <w:pStyle w:val="907"/>
        <w:rPr>
          <w:rFonts w:hint="eastAsia"/>
          <w:color w:val="auto"/>
        </w:rPr>
      </w:pPr>
      <w:r>
        <w:rPr>
          <w:rFonts w:hint="eastAsia"/>
          <w:color w:val="auto"/>
        </w:rPr>
      </w:r>
      <w:r/>
    </w:p>
    <w:p>
      <w:pPr>
        <w:pStyle w:val="907"/>
        <w:rPr>
          <w:rFonts w:hint="eastAsia"/>
          <w:color w:val="auto"/>
        </w:rPr>
      </w:pPr>
      <w:r>
        <w:rPr>
          <w:rFonts w:hint="eastAsia"/>
          <w:color w:val="auto"/>
        </w:rPr>
      </w:r>
      <w:r/>
    </w:p>
    <w:sectPr>
      <w:headerReference w:type="even" r:id="rId14"/>
      <w:headerReference w:type="first" r:id="rId15"/>
      <w:footerReference w:type="even" r:id="rId19"/>
      <w:footerReference w:type="first" r:id="rId20"/>
      <w:footnotePr/>
      <w:endnotePr/>
      <w:type w:val="nextPage"/>
      <w:pgSz w:w="11907" w:h="16840" w:orient="portrait"/>
      <w:pgMar w:top="1417" w:right="1134" w:bottom="1417" w:left="1701" w:header="851" w:footer="85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rPr>
          <w:rFonts w:hint="eastAsia"/>
        </w:rPr>
      </w:pPr>
      <w:r>
        <w:separator/>
      </w:r>
      <w:r/>
    </w:p>
  </w:endnote>
  <w:endnote w:type="continuationSeparator" w:id="0">
    <w:p>
      <w:pPr>
        <w:rPr>
          <w:rFonts w:hint="eastAsia"/>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楷体">
    <w:panose1 w:val="02010609060101010101"/>
  </w:font>
  <w:font w:name="Wingdings 2">
    <w:panose1 w:val="05020102010507070707"/>
  </w:font>
  <w:font w:name="Wingdings">
    <w:panose1 w:val="05000000000000000000"/>
  </w:font>
  <w:font w:name="等线">
    <w:panose1 w:val="02010600030101010101"/>
  </w:font>
  <w:font w:name="仿宋">
    <w:panose1 w:val="02010609060101010101"/>
  </w:font>
  <w:font w:name="等线 Light">
    <w:panose1 w:val="02010600030101010101"/>
  </w:font>
  <w:font w:name="方正小标宋简体">
    <w:panose1 w:val="020B0503020202020204"/>
  </w:font>
  <w:font w:name="Adobe 仿宋 Std R">
    <w:panose1 w:val="020B0503020202020204"/>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Symbol">
    <w:panose1 w:val="05050102010706020507"/>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jc w:val="center"/>
    </w:pPr>
    <w:r>
      <w:fldChar w:fldCharType="begin"/>
    </w:r>
    <w:r>
      <w:instrText xml:space="preserve">PAGE   \* MERGEFORMAT</w:instrText>
    </w:r>
    <w:r>
      <w:fldChar w:fldCharType="separate"/>
    </w:r>
    <w:r>
      <w:rPr>
        <w:lang w:val="zh-CN"/>
      </w:rPr>
      <w:t xml:space="preserve">2</w:t>
    </w:r>
    <w:r>
      <w:fldChar w:fldCharType="end"/>
    </w:r>
    <w:r/>
  </w:p>
  <w:p>
    <w:pPr>
      <w:pStyle w:val="94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rPr>
        <w:rStyle w:val="970"/>
      </w:rPr>
      <w:framePr w:wrap="around" w:vAnchor="text" w:hAnchor="margin" w:xAlign="right" w:y="1"/>
    </w:pPr>
    <w:r/>
    <w:r/>
  </w:p>
  <w:p>
    <w:pPr>
      <w:pStyle w:val="944"/>
      <w:ind w:right="360"/>
      <w:jc w:val="right"/>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jc w:val="center"/>
    </w:pPr>
    <w:r>
      <w:fldChar w:fldCharType="begin"/>
    </w:r>
    <w:r>
      <w:instrText xml:space="preserve">PAGE   \* MERGEFORMAT</w:instrText>
    </w:r>
    <w:r>
      <w:fldChar w:fldCharType="separate"/>
    </w:r>
    <w:r>
      <w:rPr>
        <w:lang w:val="zh-CN"/>
      </w:rPr>
      <w:t xml:space="preserve">2</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rPr>
        <w:rStyle w:val="970"/>
      </w:rPr>
      <w:framePr w:wrap="around" w:vAnchor="text" w:hAnchor="margin" w:xAlign="right" w:y="1"/>
    </w:pPr>
    <w:r>
      <w:rPr>
        <w:rStyle w:val="970"/>
      </w:rPr>
      <w:fldChar w:fldCharType="begin"/>
    </w:r>
    <w:r>
      <w:rPr>
        <w:rStyle w:val="970"/>
      </w:rPr>
      <w:instrText xml:space="preserve">PAGE  </w:instrText>
    </w:r>
    <w:r>
      <w:rPr>
        <w:rStyle w:val="970"/>
      </w:rPr>
      <w:fldChar w:fldCharType="end"/>
    </w:r>
    <w:r/>
  </w:p>
  <w:p>
    <w:pPr>
      <w:pStyle w:val="944"/>
      <w:ind w:right="360"/>
    </w:pPr>
    <w:r/>
    <w:r/>
  </w:p>
  <w:p>
    <w:pPr>
      <w:rPr>
        <w:rFonts w:hint="eastAsia"/>
      </w:rPr>
    </w:pPr>
    <w:r>
      <w:rPr>
        <w:rFonts w:hint="eastAsia"/>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rPr>
          <w:rFonts w:hint="eastAsia"/>
        </w:rPr>
      </w:pPr>
      <w:r>
        <w:separator/>
      </w:r>
      <w:r/>
    </w:p>
  </w:footnote>
  <w:footnote w:type="continuationSeparator" w:id="0">
    <w:p>
      <w:pPr>
        <w:rPr>
          <w:rFonts w:hint="eastAsia"/>
        </w:rPr>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58"/>
      <w:jc w:val="center"/>
      <w:rPr>
        <w:rFonts w:hint="eastAsia"/>
      </w:rPr>
    </w:pPr>
    <w:r>
      <w:rPr>
        <w:rFonts w:hint="eastAsia"/>
      </w:rPr>
      <mc:AlternateContent>
        <mc:Choice Requires="wpg">
          <w:drawing>
            <wp:inline xmlns:wp="http://schemas.openxmlformats.org/drawingml/2006/wordprocessingDrawing" distT="0" distB="0" distL="0" distR="0">
              <wp:extent cx="226695" cy="175260"/>
              <wp:effectExtent l="0" t="0" r="0" b="0"/>
              <wp:docPr id="1" name="图片 213975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pic:cNvPicPr>
                      <pic:nvPr/>
                    </pic:nvPicPr>
                    <pic:blipFill>
                      <a:blip r:embed="rId1"/>
                      <a:stretch/>
                    </pic:blipFill>
                    <pic:spPr bwMode="auto">
                      <a:xfrm>
                        <a:off x="0" y="0"/>
                        <a:ext cx="226695" cy="1752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7.8pt;height:13.8pt;mso-wrap-distance-left:0.0pt;mso-wrap-distance-top:0.0pt;mso-wrap-distance-right:0.0pt;mso-wrap-distance-bottom:0.0pt;" stroked="f">
              <v:path textboxrect="0,0,0,0"/>
              <v:imagedata r:id="rId1" o:title=""/>
            </v:shape>
          </w:pict>
        </mc:Fallback>
      </mc:AlternateContent>
    </w:r>
    <w:r>
      <w:rPr>
        <w:rFonts w:hint="eastAsia"/>
      </w:rPr>
      <w:t xml:space="preserve">常州新一诚项目管理有限公司 </w:t>
    </w:r>
    <w:r>
      <w:t xml:space="preserve">           </w:t>
    </w:r>
    <w:r>
      <w:rPr>
        <w:rFonts w:hint="eastAsia"/>
      </w:rPr>
      <w:t xml:space="preserve">            </w:t>
    </w:r>
    <w:r>
      <w:t xml:space="preserve">                </w:t>
    </w:r>
    <w:r>
      <w:rPr>
        <w:rFonts w:hint="eastAsia"/>
      </w:rPr>
      <w:t xml:space="preserve">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jc w:val="right"/>
    </w:pPr>
    <w:r>
      <w:rPr>
        <w:rFonts w:hint="eastAsia"/>
      </w:rPr>
      <w:t xml:space="preserve">武进区政府</w:t>
    </w:r>
    <w:r>
      <w:t xml:space="preserve">采购</w:t>
    </w:r>
    <w:r>
      <w:rPr>
        <w:rFonts w:hint="eastAsia"/>
      </w:rPr>
      <w:t xml:space="preserve">项目公开招标文件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58"/>
      <w:jc w:val="center"/>
      <w:rPr>
        <w:rFonts w:hint="eastAsia"/>
      </w:rPr>
    </w:pPr>
    <w:r>
      <w:rPr>
        <w:rFonts w:hint="eastAsia"/>
      </w:rPr>
      <mc:AlternateContent>
        <mc:Choice Requires="wpg">
          <w:drawing>
            <wp:inline xmlns:wp="http://schemas.openxmlformats.org/drawingml/2006/wordprocessingDrawing" distT="0" distB="0" distL="0" distR="0">
              <wp:extent cx="226695" cy="175260"/>
              <wp:effectExtent l="0" t="0" r="0" b="0"/>
              <wp:docPr id="2" name="图片 655172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pic:cNvPicPr>
                      <pic:nvPr/>
                    </pic:nvPicPr>
                    <pic:blipFill>
                      <a:blip r:embed="rId1"/>
                      <a:stretch/>
                    </pic:blipFill>
                    <pic:spPr bwMode="auto">
                      <a:xfrm>
                        <a:off x="0" y="0"/>
                        <a:ext cx="226695" cy="1752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7.8pt;height:13.8pt;mso-wrap-distance-left:0.0pt;mso-wrap-distance-top:0.0pt;mso-wrap-distance-right:0.0pt;mso-wrap-distance-bottom:0.0pt;" stroked="f">
              <v:path textboxrect="0,0,0,0"/>
              <v:imagedata r:id="rId1" o:title=""/>
            </v:shape>
          </w:pict>
        </mc:Fallback>
      </mc:AlternateContent>
    </w:r>
    <w:r>
      <w:rPr>
        <w:rFonts w:hint="eastAsia"/>
      </w:rPr>
      <w:t xml:space="preserve">常州新一诚项目管理有限公司 </w:t>
    </w:r>
    <w:r>
      <w:t xml:space="preserve">      </w:t>
    </w:r>
    <w:r>
      <w:rPr>
        <w:rFonts w:hint="eastAsia"/>
      </w:rPr>
      <w:t xml:space="preserve">                                                    </w:t>
    </w:r>
    <w:r>
      <w:t xml:space="preserve">                            </w:t>
    </w:r>
    <w:r>
      <w:rPr>
        <w:rFonts w:hint="eastAsia"/>
      </w:rPr>
      <w:t xml:space="preserve">公开招标文件</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58"/>
      <w:rPr>
        <w:rFonts w:hint="eastAsia"/>
      </w:rPr>
    </w:pPr>
    <w:r>
      <w:rPr>
        <w:rFonts w:hint="eastAsia"/>
      </w:rPr>
      <mc:AlternateContent>
        <mc:Choice Requires="wpg">
          <w:drawing>
            <wp:inline xmlns:wp="http://schemas.openxmlformats.org/drawingml/2006/wordprocessingDrawing" distT="0" distB="0" distL="0" distR="0">
              <wp:extent cx="226695" cy="175260"/>
              <wp:effectExtent l="0" t="0" r="0" b="0"/>
              <wp:docPr id="3" name="图片 1061506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pic:cNvPicPr>
                      <pic:nvPr/>
                    </pic:nvPicPr>
                    <pic:blipFill>
                      <a:blip r:embed="rId1"/>
                      <a:stretch/>
                    </pic:blipFill>
                    <pic:spPr bwMode="auto">
                      <a:xfrm>
                        <a:off x="0" y="0"/>
                        <a:ext cx="226695" cy="1752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7.8pt;height:13.8pt;mso-wrap-distance-left:0.0pt;mso-wrap-distance-top:0.0pt;mso-wrap-distance-right:0.0pt;mso-wrap-distance-bottom:0.0pt;" stroked="f">
              <v:path textboxrect="0,0,0,0"/>
              <v:imagedata r:id="rId1" o:title=""/>
            </v:shape>
          </w:pict>
        </mc:Fallback>
      </mc:AlternateContent>
    </w:r>
    <w:r>
      <w:rPr>
        <w:rFonts w:hint="eastAsia"/>
      </w:rPr>
      <w:t xml:space="preserve">常州新一诚项目管理有限公司 </w:t>
    </w:r>
    <w:r>
      <w:t xml:space="preserve"> </w:t>
    </w:r>
    <w:r>
      <w:rPr>
        <w:rFonts w:hint="eastAsia"/>
      </w:rPr>
      <w:t xml:space="preserve">              </w:t>
    </w:r>
    <w:r>
      <w:rPr>
        <w:rFonts w:hint="eastAsia"/>
      </w:rPr>
      <w:t xml:space="preserve">    </w:t>
    </w:r>
    <w:r>
      <w:rPr>
        <w:rFonts w:hint="eastAsia"/>
      </w:rPr>
      <w:t xml:space="preserve">          </w:t>
    </w:r>
    <w:r>
      <w:t xml:space="preserve">  </w:t>
    </w:r>
    <w:r>
      <w:rPr>
        <w:rFonts w:hint="eastAsia"/>
      </w:rPr>
      <w:t xml:space="preserve">公开招标文件</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pPr>
    <w:r/>
    <w:r/>
  </w:p>
  <w:p>
    <w:pPr>
      <w:rPr>
        <w:rFonts w:hint="eastAsia"/>
      </w:rPr>
    </w:pPr>
    <w:r>
      <w:rPr>
        <w:rFonts w:hint="eastAsia"/>
      </w:r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05"/>
      <w:isLgl w:val="false"/>
      <w:suff w:val="tab"/>
      <w:lvlText w:val="%1."/>
      <w:lvlJc w:val="left"/>
      <w:pPr>
        <w:ind w:left="420" w:hanging="420"/>
      </w:pPr>
    </w:lvl>
    <w:lvl w:ilvl="1">
      <w:start w:val="1"/>
      <w:numFmt w:val="decimal"/>
      <w:isLgl w:val="false"/>
      <w:suff w:val="tab"/>
      <w:lvlText w:val="（%2）"/>
      <w:lvlJc w:val="left"/>
      <w:pPr>
        <w:ind w:left="1140" w:hanging="720"/>
        <w:tabs>
          <w:tab w:val="num"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lowerLetter"/>
      <w:pStyle w:val="1079"/>
      <w:isLgl w:val="false"/>
      <w:suff w:val="tab"/>
      <w:lvlText w:val="%1)"/>
      <w:lvlJc w:val="left"/>
      <w:pPr>
        <w:ind w:left="902" w:hanging="420"/>
      </w:pPr>
      <w:rPr>
        <w:color w:val="auto"/>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4">
    <w:multiLevelType w:val="hybridMultilevel"/>
    <w:lvl w:ilvl="0">
      <w:start w:val="1"/>
      <w:numFmt w:val="decimal"/>
      <w:isLgl w:val="false"/>
      <w:suff w:val="tab"/>
      <w:lvlText w:val="%1."/>
      <w:lvlJc w:val="left"/>
      <w:pPr>
        <w:ind w:left="1965" w:hanging="705"/>
        <w:tabs>
          <w:tab w:val="num" w:pos="1965" w:leader="none"/>
        </w:tabs>
      </w:pPr>
    </w:lvl>
    <w:lvl w:ilvl="1">
      <w:start w:val="1"/>
      <w:numFmt w:val="decimal"/>
      <w:isLgl w:val="false"/>
      <w:suff w:val="tab"/>
      <w:lvlText w:val="（%2）"/>
      <w:lvlJc w:val="left"/>
      <w:pPr>
        <w:ind w:left="1140" w:hanging="720"/>
        <w:tabs>
          <w:tab w:val="num" w:pos="1140" w:leader="none"/>
        </w:tabs>
      </w:pPr>
    </w:lvl>
    <w:lvl w:ilvl="2">
      <w:start w:val="1"/>
      <w:numFmt w:val="lowerRoman"/>
      <w:isLgl w:val="false"/>
      <w:suff w:val="tab"/>
      <w:lvlText w:val="%3."/>
      <w:lvlJc w:val="right"/>
      <w:pPr>
        <w:ind w:left="1260" w:hanging="420"/>
        <w:tabs>
          <w:tab w:val="num" w:pos="1260" w:leader="none"/>
        </w:tabs>
      </w:pPr>
    </w:lvl>
    <w:lvl w:ilvl="3">
      <w:start w:val="1"/>
      <w:numFmt w:val="decimal"/>
      <w:isLgl w:val="false"/>
      <w:suff w:val="tab"/>
      <w:lvlText w:val="%4."/>
      <w:lvlJc w:val="left"/>
      <w:pPr>
        <w:ind w:left="1680" w:hanging="420"/>
        <w:tabs>
          <w:tab w:val="num" w:pos="1680" w:leader="none"/>
        </w:tabs>
      </w:pPr>
    </w:lvl>
    <w:lvl w:ilvl="4">
      <w:start w:val="1"/>
      <w:numFmt w:val="lowerLetter"/>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5">
    <w:multiLevelType w:val="hybridMultilevel"/>
    <w:lvl w:ilvl="0">
      <w:start w:val="1"/>
      <w:numFmt w:val="decimal"/>
      <w:pStyle w:val="1050"/>
      <w:isLgl w:val="false"/>
      <w:suff w:val="tab"/>
      <w:lvlText w:val="%1."/>
      <w:lvlJc w:val="left"/>
      <w:pPr>
        <w:ind w:left="360" w:hanging="360"/>
        <w:tabs>
          <w:tab w:val="num" w:pos="36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999"/>
      <w:isLgl/>
      <w:suff w:val="nothing"/>
      <w:lvlText w:val="%1　"/>
      <w:lvlJc w:val="left"/>
      <w:pPr>
        <w:ind w:left="-25" w:firstLine="0"/>
      </w:pPr>
      <w:rPr>
        <w:rFonts w:hint="default" w:ascii="Times New Roman" w:hAnsi="Times New Roman" w:eastAsia="宋体"/>
        <w:b/>
        <w:i w:val="0"/>
        <w:color w:val="auto"/>
        <w:sz w:val="28"/>
        <w:u w:val="none"/>
      </w:rPr>
    </w:lvl>
    <w:lvl w:ilvl="1">
      <w:start w:val="1"/>
      <w:numFmt w:val="decimal"/>
      <w:pStyle w:val="998"/>
      <w:isLgl/>
      <w:suff w:val="nothing"/>
      <w:lvlText w:val="%1.%2　"/>
      <w:lvlJc w:val="left"/>
      <w:pPr>
        <w:ind w:left="-25" w:firstLine="0"/>
      </w:pPr>
      <w:rPr>
        <w:rFonts w:hint="default" w:ascii="Times New Roman" w:hAnsi="Times New Roman" w:eastAsia="宋体"/>
        <w:b/>
        <w:i w:val="0"/>
        <w:color w:val="auto"/>
        <w:spacing w:val="0"/>
        <w:sz w:val="28"/>
        <w:u w:val="none"/>
      </w:rPr>
    </w:lvl>
    <w:lvl w:ilvl="2">
      <w:start w:val="1"/>
      <w:numFmt w:val="decimal"/>
      <w:isLgl/>
      <w:suff w:val="nothing"/>
      <w:lvlText w:val="%1.%2.%3　"/>
      <w:lvlJc w:val="left"/>
      <w:pPr>
        <w:ind w:left="-25" w:firstLine="0"/>
      </w:pPr>
      <w:rPr>
        <w:rFonts w:hint="default" w:ascii="Times New Roman" w:hAnsi="Times New Roman" w:eastAsia="黑体"/>
        <w:b/>
        <w:i w:val="0"/>
        <w:sz w:val="28"/>
      </w:rPr>
    </w:lvl>
    <w:lvl w:ilvl="3">
      <w:start w:val="1"/>
      <w:numFmt w:val="decimal"/>
      <w:pStyle w:val="1035"/>
      <w:isLgl/>
      <w:suff w:val="nothing"/>
      <w:lvlText w:val="%1.%2.%3.%4　"/>
      <w:lvlJc w:val="left"/>
      <w:pPr>
        <w:ind w:left="-25" w:firstLine="0"/>
      </w:pPr>
      <w:rPr>
        <w:rFonts w:hint="default" w:ascii="Times New Roman" w:hAnsi="Times New Roman" w:eastAsia="宋体"/>
        <w:b/>
        <w:i w:val="0"/>
        <w:color w:val="auto"/>
        <w:sz w:val="28"/>
        <w:u w:val="none"/>
      </w:rPr>
    </w:lvl>
    <w:lvl w:ilvl="4">
      <w:start w:val="1"/>
      <w:numFmt w:val="decimal"/>
      <w:pStyle w:val="1034"/>
      <w:isLgl/>
      <w:suff w:val="nothing"/>
      <w:lvlText w:val="%1.%2.%3.%4.%5　"/>
      <w:lvlJc w:val="left"/>
      <w:pPr>
        <w:ind w:left="-25" w:firstLine="0"/>
      </w:pPr>
      <w:rPr>
        <w:rFonts w:hint="default" w:ascii="Times New Roman" w:hAnsi="Times New Roman" w:eastAsia="宋体"/>
        <w:b/>
        <w:i w:val="0"/>
        <w:color w:val="auto"/>
        <w:sz w:val="28"/>
        <w:u w:val="none"/>
      </w:rPr>
    </w:lvl>
    <w:lvl w:ilvl="5">
      <w:start w:val="1"/>
      <w:numFmt w:val="decimal"/>
      <w:pStyle w:val="1043"/>
      <w:isLgl/>
      <w:suff w:val="nothing"/>
      <w:lvlText w:val="%1.%2.%3.%4.%5.%6　"/>
      <w:lvlJc w:val="left"/>
      <w:pPr>
        <w:ind w:left="-25" w:firstLine="0"/>
      </w:pPr>
      <w:rPr>
        <w:rFonts w:hint="default" w:ascii="Times New Roman" w:hAnsi="Times New Roman" w:eastAsia="宋体"/>
        <w:b/>
        <w:i w:val="0"/>
        <w:sz w:val="28"/>
      </w:rPr>
    </w:lvl>
    <w:lvl w:ilvl="6">
      <w:start w:val="1"/>
      <w:numFmt w:val="lowerLetter"/>
      <w:pStyle w:val="1056"/>
      <w:isLgl w:val="false"/>
      <w:suff w:val="tab"/>
      <w:lvlText w:val="%7) "/>
      <w:lvlJc w:val="left"/>
      <w:pPr>
        <w:ind w:left="-125" w:firstLine="400"/>
        <w:tabs>
          <w:tab w:val="num" w:pos="635" w:leader="none"/>
        </w:tabs>
      </w:pPr>
      <w:rPr>
        <w:rFonts w:hint="default" w:ascii="Times New Roman" w:hAnsi="Times New Roman" w:eastAsia="宋体"/>
        <w:b/>
        <w:i w:val="0"/>
        <w:color w:val="auto"/>
        <w:sz w:val="28"/>
        <w:u w:val="none"/>
      </w:rPr>
    </w:lvl>
    <w:lvl w:ilvl="7">
      <w:start w:val="1"/>
      <w:numFmt w:val="decimal"/>
      <w:pStyle w:val="1019"/>
      <w:isLgl w:val="false"/>
      <w:suff w:val="tab"/>
      <w:lvlText w:val="%8) "/>
      <w:lvlJc w:val="left"/>
      <w:pPr>
        <w:ind w:left="500" w:firstLine="0"/>
        <w:tabs>
          <w:tab w:val="num" w:pos="860" w:leader="none"/>
        </w:tabs>
      </w:pPr>
      <w:rPr>
        <w:rFonts w:hint="default" w:ascii="Times New Roman" w:hAnsi="Times New Roman" w:eastAsia="宋体"/>
        <w:b/>
        <w:i w:val="0"/>
        <w:color w:val="auto"/>
        <w:sz w:val="28"/>
        <w:u w:val="none"/>
      </w:rPr>
    </w:lvl>
    <w:lvl w:ilvl="8">
      <w:start w:val="1"/>
      <w:numFmt w:val="none"/>
      <w:isLgl w:val="false"/>
      <w:suff w:val="tab"/>
      <w:lvlText w:val="%9"/>
      <w:lvlJc w:val="left"/>
      <w:pPr>
        <w:ind w:left="500" w:firstLine="0"/>
        <w:tabs>
          <w:tab w:val="num" w:pos="860" w:leader="none"/>
        </w:tabs>
      </w:pPr>
      <w:rPr>
        <w:rFonts w:hint="eastAsia" w:ascii="宋体" w:eastAsia="宋体"/>
        <w:b w:val="0"/>
        <w:i w:val="0"/>
        <w:color w:val="auto"/>
        <w:sz w:val="28"/>
        <w:u w:val="none"/>
      </w:rPr>
    </w:lvl>
  </w:abstractNum>
  <w:abstractNum w:abstractNumId="7">
    <w:multiLevelType w:val="hybridMultilevel"/>
    <w:lvl w:ilvl="0">
      <w:start w:val="1"/>
      <w:numFmt w:val="decimal"/>
      <w:isLgl w:val="false"/>
      <w:suff w:val="tab"/>
      <w:lvlText w:val="%1．"/>
      <w:lvlJc w:val="left"/>
      <w:pPr>
        <w:ind w:left="768" w:hanging="360"/>
        <w:tabs>
          <w:tab w:val="num" w:pos="768" w:leader="none"/>
        </w:tabs>
      </w:pPr>
      <w:rPr>
        <w:rFonts w:hint="eastAsia"/>
      </w:rPr>
    </w:lvl>
    <w:lvl w:ilvl="1">
      <w:start w:val="1"/>
      <w:numFmt w:val="decimal"/>
      <w:pStyle w:val="1037"/>
      <w:isLgl w:val="false"/>
      <w:suff w:val="tab"/>
      <w:lvlText w:val="%2、"/>
      <w:lvlJc w:val="left"/>
      <w:pPr>
        <w:ind w:left="1188" w:hanging="360"/>
        <w:tabs>
          <w:tab w:val="num" w:pos="1188" w:leader="none"/>
        </w:tabs>
      </w:pPr>
      <w:rPr>
        <w:rFonts w:hint="eastAsia"/>
      </w:rPr>
    </w:lvl>
    <w:lvl w:ilvl="2">
      <w:start w:val="1"/>
      <w:numFmt w:val="decimal"/>
      <w:isLgl w:val="false"/>
      <w:suff w:val="tab"/>
      <w:lvlText w:val="（%3）"/>
      <w:lvlJc w:val="left"/>
      <w:pPr>
        <w:ind w:left="1968" w:hanging="720"/>
        <w:tabs>
          <w:tab w:val="num" w:pos="1968" w:leader="none"/>
        </w:tabs>
      </w:pPr>
      <w:rPr>
        <w:rFonts w:hint="eastAsia"/>
        <w:u w:val="none"/>
      </w:rPr>
    </w:lvl>
    <w:lvl w:ilvl="3">
      <w:start w:val="1"/>
      <w:numFmt w:val="decimal"/>
      <w:isLgl w:val="false"/>
      <w:suff w:val="tab"/>
      <w:lvlText w:val="%4."/>
      <w:lvlJc w:val="left"/>
      <w:pPr>
        <w:ind w:left="2088" w:hanging="420"/>
        <w:tabs>
          <w:tab w:val="num" w:pos="2088" w:leader="none"/>
        </w:tabs>
      </w:pPr>
    </w:lvl>
    <w:lvl w:ilvl="4">
      <w:start w:val="1"/>
      <w:numFmt w:val="lowerLetter"/>
      <w:isLgl w:val="false"/>
      <w:suff w:val="tab"/>
      <w:lvlText w:val="%5)"/>
      <w:lvlJc w:val="left"/>
      <w:pPr>
        <w:ind w:left="2508" w:hanging="420"/>
        <w:tabs>
          <w:tab w:val="num" w:pos="2508" w:leader="none"/>
        </w:tabs>
      </w:pPr>
    </w:lvl>
    <w:lvl w:ilvl="5">
      <w:start w:val="1"/>
      <w:numFmt w:val="lowerRoman"/>
      <w:isLgl w:val="false"/>
      <w:suff w:val="tab"/>
      <w:lvlText w:val="%6."/>
      <w:lvlJc w:val="right"/>
      <w:pPr>
        <w:ind w:left="2928" w:hanging="420"/>
        <w:tabs>
          <w:tab w:val="num" w:pos="2928" w:leader="none"/>
        </w:tabs>
      </w:pPr>
    </w:lvl>
    <w:lvl w:ilvl="6">
      <w:start w:val="1"/>
      <w:numFmt w:val="decimal"/>
      <w:isLgl w:val="false"/>
      <w:suff w:val="tab"/>
      <w:lvlText w:val="%7."/>
      <w:lvlJc w:val="left"/>
      <w:pPr>
        <w:ind w:left="3348" w:hanging="420"/>
        <w:tabs>
          <w:tab w:val="num" w:pos="3348" w:leader="none"/>
        </w:tabs>
      </w:pPr>
    </w:lvl>
    <w:lvl w:ilvl="7">
      <w:start w:val="1"/>
      <w:numFmt w:val="lowerLetter"/>
      <w:isLgl w:val="false"/>
      <w:suff w:val="tab"/>
      <w:lvlText w:val="%8)"/>
      <w:lvlJc w:val="left"/>
      <w:pPr>
        <w:ind w:left="3768" w:hanging="420"/>
        <w:tabs>
          <w:tab w:val="num" w:pos="3768" w:leader="none"/>
        </w:tabs>
      </w:pPr>
    </w:lvl>
    <w:lvl w:ilvl="8">
      <w:start w:val="1"/>
      <w:numFmt w:val="lowerRoman"/>
      <w:isLgl w:val="false"/>
      <w:suff w:val="tab"/>
      <w:lvlText w:val="%9."/>
      <w:lvlJc w:val="right"/>
      <w:pPr>
        <w:ind w:left="4188" w:hanging="420"/>
        <w:tabs>
          <w:tab w:val="num" w:pos="4188" w:leader="none"/>
        </w:tabs>
      </w:pPr>
    </w:lvl>
  </w:abstractNum>
  <w:abstractNum w:abstractNumId="8">
    <w:multiLevelType w:val="hybridMultilevel"/>
    <w:lvl w:ilvl="0">
      <w:start w:val="1"/>
      <w:numFmt w:val="decimal"/>
      <w:pStyle w:val="1004"/>
      <w:isLgl w:val="false"/>
      <w:suff w:val="tab"/>
      <w:lvlText w:val="%1)"/>
      <w:lvlJc w:val="left"/>
      <w:pPr>
        <w:ind w:left="420" w:hanging="4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
    <w:multiLevelType w:val="hybridMultilevel"/>
    <w:lvl w:ilvl="0">
      <w:start w:val="1"/>
      <w:numFmt w:val="decimal"/>
      <w:isLgl w:val="false"/>
      <w:suff w:val="tab"/>
      <w:lvlText w:val="%1"/>
      <w:lvlJc w:val="left"/>
      <w:pPr>
        <w:ind w:left="1322" w:hanging="562"/>
      </w:pPr>
      <w:rPr>
        <w:rFonts w:hint="default"/>
        <w:lang w:val="zh-CN" w:eastAsia="zh-CN" w:bidi="zh-CN"/>
      </w:rPr>
    </w:lvl>
    <w:lvl w:ilvl="1">
      <w:start w:val="1"/>
      <w:numFmt w:val="decimal"/>
      <w:isLgl w:val="false"/>
      <w:suff w:val="tab"/>
      <w:lvlText w:val="%1.%2"/>
      <w:lvlJc w:val="left"/>
      <w:pPr>
        <w:ind w:left="1322" w:hanging="562"/>
      </w:pPr>
      <w:rPr>
        <w:rFonts w:hint="default" w:ascii="仿宋" w:hAnsi="仿宋" w:eastAsia="仿宋" w:cs="仿宋"/>
        <w:spacing w:val="0"/>
        <w:sz w:val="21"/>
        <w:szCs w:val="21"/>
        <w:lang w:val="zh-CN" w:eastAsia="zh-CN" w:bidi="zh-CN"/>
      </w:rPr>
    </w:lvl>
    <w:lvl w:ilvl="2">
      <w:start w:val="1"/>
      <w:numFmt w:val="decimal"/>
      <w:isLgl w:val="false"/>
      <w:suff w:val="tab"/>
      <w:lvlText w:val="%1.%2.%3"/>
      <w:lvlJc w:val="left"/>
      <w:pPr>
        <w:ind w:left="1642" w:hanging="881"/>
      </w:pPr>
      <w:rPr>
        <w:rFonts w:hint="default" w:ascii="仿宋" w:hAnsi="仿宋" w:eastAsia="仿宋" w:cs="仿宋"/>
        <w:spacing w:val="0"/>
        <w:sz w:val="21"/>
        <w:szCs w:val="21"/>
        <w:lang w:val="zh-CN" w:eastAsia="zh-CN" w:bidi="zh-CN"/>
      </w:rPr>
    </w:lvl>
    <w:lvl w:ilvl="3">
      <w:start w:val="1"/>
      <w:numFmt w:val="bullet"/>
      <w:isLgl w:val="false"/>
      <w:suff w:val="tab"/>
      <w:lvlText w:val="•"/>
      <w:lvlJc w:val="left"/>
      <w:pPr>
        <w:ind w:left="2543" w:hanging="881"/>
      </w:pPr>
      <w:rPr>
        <w:rFonts w:hint="default"/>
        <w:lang w:val="zh-CN" w:eastAsia="zh-CN" w:bidi="zh-CN"/>
      </w:rPr>
    </w:lvl>
    <w:lvl w:ilvl="4">
      <w:start w:val="1"/>
      <w:numFmt w:val="bullet"/>
      <w:isLgl w:val="false"/>
      <w:suff w:val="tab"/>
      <w:lvlText w:val="•"/>
      <w:lvlJc w:val="left"/>
      <w:pPr>
        <w:ind w:left="3446" w:hanging="881"/>
      </w:pPr>
      <w:rPr>
        <w:rFonts w:hint="default"/>
        <w:lang w:val="zh-CN" w:eastAsia="zh-CN" w:bidi="zh-CN"/>
      </w:rPr>
    </w:lvl>
    <w:lvl w:ilvl="5">
      <w:start w:val="1"/>
      <w:numFmt w:val="bullet"/>
      <w:isLgl w:val="false"/>
      <w:suff w:val="tab"/>
      <w:lvlText w:val="•"/>
      <w:lvlJc w:val="left"/>
      <w:pPr>
        <w:ind w:left="4349" w:hanging="881"/>
      </w:pPr>
      <w:rPr>
        <w:rFonts w:hint="default"/>
        <w:lang w:val="zh-CN" w:eastAsia="zh-CN" w:bidi="zh-CN"/>
      </w:rPr>
    </w:lvl>
    <w:lvl w:ilvl="6">
      <w:start w:val="1"/>
      <w:numFmt w:val="bullet"/>
      <w:isLgl w:val="false"/>
      <w:suff w:val="tab"/>
      <w:lvlText w:val="•"/>
      <w:lvlJc w:val="left"/>
      <w:pPr>
        <w:ind w:left="5253" w:hanging="881"/>
      </w:pPr>
      <w:rPr>
        <w:rFonts w:hint="default"/>
        <w:lang w:val="zh-CN" w:eastAsia="zh-CN" w:bidi="zh-CN"/>
      </w:rPr>
    </w:lvl>
    <w:lvl w:ilvl="7">
      <w:start w:val="1"/>
      <w:numFmt w:val="bullet"/>
      <w:isLgl w:val="false"/>
      <w:suff w:val="tab"/>
      <w:lvlText w:val="•"/>
      <w:lvlJc w:val="left"/>
      <w:pPr>
        <w:ind w:left="6156" w:hanging="881"/>
      </w:pPr>
      <w:rPr>
        <w:rFonts w:hint="default"/>
        <w:lang w:val="zh-CN" w:eastAsia="zh-CN" w:bidi="zh-CN"/>
      </w:rPr>
    </w:lvl>
    <w:lvl w:ilvl="8">
      <w:start w:val="1"/>
      <w:numFmt w:val="bullet"/>
      <w:isLgl w:val="false"/>
      <w:suff w:val="tab"/>
      <w:lvlText w:val="•"/>
      <w:lvlJc w:val="left"/>
      <w:pPr>
        <w:ind w:left="7059" w:hanging="881"/>
      </w:pPr>
      <w:rPr>
        <w:rFonts w:hint="default"/>
        <w:lang w:val="zh-CN" w:eastAsia="zh-CN" w:bidi="zh-CN"/>
      </w:rPr>
    </w:lvl>
  </w:abstractNum>
  <w:abstractNum w:abstractNumId="10">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1">
    <w:multiLevelType w:val="hybridMultilevel"/>
    <w:lvl w:ilvl="0">
      <w:start w:val="1"/>
      <w:numFmt w:val="decimal"/>
      <w:pStyle w:val="1104"/>
      <w:isLgl w:val="false"/>
      <w:suff w:val="tab"/>
      <w:lvlText w:val="%1"/>
      <w:lvlJc w:val="left"/>
      <w:pPr>
        <w:ind w:left="680" w:hanging="680"/>
      </w:pPr>
      <w:rPr>
        <w:rFonts w:hint="eastAsia" w:ascii="宋体" w:hAnsi="宋体" w:eastAsia="宋体"/>
      </w:rPr>
    </w:lvl>
    <w:lvl w:ilvl="1">
      <w:start w:val="1"/>
      <w:numFmt w:val="decimal"/>
      <w:pStyle w:val="1105"/>
      <w:isLgl w:val="false"/>
      <w:suff w:val="tab"/>
      <w:lvlText w:val="%1.%2"/>
      <w:lvlJc w:val="left"/>
      <w:pPr>
        <w:ind w:left="851" w:hanging="851"/>
      </w:pPr>
      <w:rPr>
        <w:rFonts w:hint="eastAsia" w:ascii="宋体" w:hAnsi="宋体" w:eastAsia="宋体"/>
        <w:color w:val="auto"/>
      </w:rPr>
    </w:lvl>
    <w:lvl w:ilvl="2">
      <w:start w:val="1"/>
      <w:numFmt w:val="decimal"/>
      <w:pStyle w:val="1106"/>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12">
    <w:multiLevelType w:val="hybridMultilevel"/>
    <w:lvl w:ilvl="0">
      <w:start w:val="6"/>
      <w:numFmt w:val="decimal"/>
      <w:isLgl w:val="false"/>
      <w:suff w:val="tab"/>
      <w:lvlText w:val="%1"/>
      <w:lvlJc w:val="left"/>
      <w:pPr>
        <w:ind w:left="120" w:hanging="627"/>
      </w:pPr>
      <w:rPr>
        <w:rFonts w:hint="default"/>
        <w:lang w:val="zh-CN" w:eastAsia="zh-CN" w:bidi="zh-CN"/>
      </w:rPr>
    </w:lvl>
    <w:lvl w:ilvl="1">
      <w:start w:val="1"/>
      <w:numFmt w:val="decimal"/>
      <w:isLgl w:val="false"/>
      <w:suff w:val="tab"/>
      <w:lvlText w:val="%1.%2"/>
      <w:lvlJc w:val="left"/>
      <w:pPr>
        <w:ind w:left="120" w:hanging="627"/>
      </w:pPr>
      <w:rPr>
        <w:rFonts w:hint="default" w:ascii="仿宋" w:hAnsi="仿宋" w:eastAsia="仿宋" w:cs="仿宋"/>
        <w:spacing w:val="0"/>
        <w:sz w:val="21"/>
        <w:szCs w:val="21"/>
        <w:lang w:val="zh-CN" w:eastAsia="zh-CN" w:bidi="zh-CN"/>
      </w:rPr>
    </w:lvl>
    <w:lvl w:ilvl="2">
      <w:start w:val="1"/>
      <w:numFmt w:val="bullet"/>
      <w:isLgl w:val="false"/>
      <w:suff w:val="tab"/>
      <w:lvlText w:val="•"/>
      <w:lvlJc w:val="left"/>
      <w:pPr>
        <w:ind w:left="1869" w:hanging="627"/>
      </w:pPr>
      <w:rPr>
        <w:rFonts w:hint="default"/>
        <w:lang w:val="zh-CN" w:eastAsia="zh-CN" w:bidi="zh-CN"/>
      </w:rPr>
    </w:lvl>
    <w:lvl w:ilvl="3">
      <w:start w:val="1"/>
      <w:numFmt w:val="bullet"/>
      <w:isLgl w:val="false"/>
      <w:suff w:val="tab"/>
      <w:lvlText w:val="•"/>
      <w:lvlJc w:val="left"/>
      <w:pPr>
        <w:ind w:left="2743" w:hanging="627"/>
      </w:pPr>
      <w:rPr>
        <w:rFonts w:hint="default"/>
        <w:lang w:val="zh-CN" w:eastAsia="zh-CN" w:bidi="zh-CN"/>
      </w:rPr>
    </w:lvl>
    <w:lvl w:ilvl="4">
      <w:start w:val="1"/>
      <w:numFmt w:val="bullet"/>
      <w:isLgl w:val="false"/>
      <w:suff w:val="tab"/>
      <w:lvlText w:val="•"/>
      <w:lvlJc w:val="left"/>
      <w:pPr>
        <w:ind w:left="3618" w:hanging="627"/>
      </w:pPr>
      <w:rPr>
        <w:rFonts w:hint="default"/>
        <w:lang w:val="zh-CN" w:eastAsia="zh-CN" w:bidi="zh-CN"/>
      </w:rPr>
    </w:lvl>
    <w:lvl w:ilvl="5">
      <w:start w:val="1"/>
      <w:numFmt w:val="bullet"/>
      <w:isLgl w:val="false"/>
      <w:suff w:val="tab"/>
      <w:lvlText w:val="•"/>
      <w:lvlJc w:val="left"/>
      <w:pPr>
        <w:ind w:left="4493" w:hanging="627"/>
      </w:pPr>
      <w:rPr>
        <w:rFonts w:hint="default"/>
        <w:lang w:val="zh-CN" w:eastAsia="zh-CN" w:bidi="zh-CN"/>
      </w:rPr>
    </w:lvl>
    <w:lvl w:ilvl="6">
      <w:start w:val="1"/>
      <w:numFmt w:val="bullet"/>
      <w:isLgl w:val="false"/>
      <w:suff w:val="tab"/>
      <w:lvlText w:val="•"/>
      <w:lvlJc w:val="left"/>
      <w:pPr>
        <w:ind w:left="5367" w:hanging="627"/>
      </w:pPr>
      <w:rPr>
        <w:rFonts w:hint="default"/>
        <w:lang w:val="zh-CN" w:eastAsia="zh-CN" w:bidi="zh-CN"/>
      </w:rPr>
    </w:lvl>
    <w:lvl w:ilvl="7">
      <w:start w:val="1"/>
      <w:numFmt w:val="bullet"/>
      <w:isLgl w:val="false"/>
      <w:suff w:val="tab"/>
      <w:lvlText w:val="•"/>
      <w:lvlJc w:val="left"/>
      <w:pPr>
        <w:ind w:left="6242" w:hanging="627"/>
      </w:pPr>
      <w:rPr>
        <w:rFonts w:hint="default"/>
        <w:lang w:val="zh-CN" w:eastAsia="zh-CN" w:bidi="zh-CN"/>
      </w:rPr>
    </w:lvl>
    <w:lvl w:ilvl="8">
      <w:start w:val="1"/>
      <w:numFmt w:val="bullet"/>
      <w:isLgl w:val="false"/>
      <w:suff w:val="tab"/>
      <w:lvlText w:val="•"/>
      <w:lvlJc w:val="left"/>
      <w:pPr>
        <w:ind w:left="7117" w:hanging="627"/>
      </w:pPr>
      <w:rPr>
        <w:rFonts w:hint="default"/>
        <w:lang w:val="zh-CN" w:eastAsia="zh-CN" w:bidi="zh-CN"/>
      </w:rPr>
    </w:lvl>
  </w:abstractNum>
  <w:abstractNum w:abstractNumId="13">
    <w:multiLevelType w:val="hybridMultilevel"/>
    <w:lvl w:ilvl="0">
      <w:start w:val="7"/>
      <w:numFmt w:val="decimal"/>
      <w:isLgl w:val="false"/>
      <w:suff w:val="tab"/>
      <w:lvlText w:val="%1"/>
      <w:lvlJc w:val="left"/>
      <w:pPr>
        <w:ind w:left="1322" w:hanging="562"/>
      </w:pPr>
      <w:rPr>
        <w:rFonts w:hint="default"/>
        <w:lang w:val="zh-CN" w:eastAsia="zh-CN" w:bidi="zh-CN"/>
      </w:rPr>
    </w:lvl>
    <w:lvl w:ilvl="1">
      <w:start w:val="1"/>
      <w:numFmt w:val="decimal"/>
      <w:isLgl w:val="false"/>
      <w:suff w:val="tab"/>
      <w:lvlText w:val="%1.%2"/>
      <w:lvlJc w:val="left"/>
      <w:pPr>
        <w:ind w:left="1322" w:hanging="562"/>
      </w:pPr>
      <w:rPr>
        <w:rFonts w:hint="default" w:ascii="仿宋" w:hAnsi="仿宋" w:eastAsia="仿宋" w:cs="仿宋"/>
        <w:spacing w:val="0"/>
        <w:sz w:val="21"/>
        <w:szCs w:val="21"/>
        <w:lang w:val="zh-CN" w:eastAsia="zh-CN" w:bidi="zh-CN"/>
      </w:rPr>
    </w:lvl>
    <w:lvl w:ilvl="2">
      <w:start w:val="1"/>
      <w:numFmt w:val="bullet"/>
      <w:isLgl w:val="false"/>
      <w:suff w:val="tab"/>
      <w:lvlText w:val="•"/>
      <w:lvlJc w:val="left"/>
      <w:pPr>
        <w:ind w:left="2829" w:hanging="562"/>
      </w:pPr>
      <w:rPr>
        <w:rFonts w:hint="default"/>
        <w:lang w:val="zh-CN" w:eastAsia="zh-CN" w:bidi="zh-CN"/>
      </w:rPr>
    </w:lvl>
    <w:lvl w:ilvl="3">
      <w:start w:val="1"/>
      <w:numFmt w:val="bullet"/>
      <w:isLgl w:val="false"/>
      <w:suff w:val="tab"/>
      <w:lvlText w:val="•"/>
      <w:lvlJc w:val="left"/>
      <w:pPr>
        <w:ind w:left="3583" w:hanging="562"/>
      </w:pPr>
      <w:rPr>
        <w:rFonts w:hint="default"/>
        <w:lang w:val="zh-CN" w:eastAsia="zh-CN" w:bidi="zh-CN"/>
      </w:rPr>
    </w:lvl>
    <w:lvl w:ilvl="4">
      <w:start w:val="1"/>
      <w:numFmt w:val="bullet"/>
      <w:isLgl w:val="false"/>
      <w:suff w:val="tab"/>
      <w:lvlText w:val="•"/>
      <w:lvlJc w:val="left"/>
      <w:pPr>
        <w:ind w:left="4338" w:hanging="562"/>
      </w:pPr>
      <w:rPr>
        <w:rFonts w:hint="default"/>
        <w:lang w:val="zh-CN" w:eastAsia="zh-CN" w:bidi="zh-CN"/>
      </w:rPr>
    </w:lvl>
    <w:lvl w:ilvl="5">
      <w:start w:val="1"/>
      <w:numFmt w:val="bullet"/>
      <w:isLgl w:val="false"/>
      <w:suff w:val="tab"/>
      <w:lvlText w:val="•"/>
      <w:lvlJc w:val="left"/>
      <w:pPr>
        <w:ind w:left="5093" w:hanging="562"/>
      </w:pPr>
      <w:rPr>
        <w:rFonts w:hint="default"/>
        <w:lang w:val="zh-CN" w:eastAsia="zh-CN" w:bidi="zh-CN"/>
      </w:rPr>
    </w:lvl>
    <w:lvl w:ilvl="6">
      <w:start w:val="1"/>
      <w:numFmt w:val="bullet"/>
      <w:isLgl w:val="false"/>
      <w:suff w:val="tab"/>
      <w:lvlText w:val="•"/>
      <w:lvlJc w:val="left"/>
      <w:pPr>
        <w:ind w:left="5847" w:hanging="562"/>
      </w:pPr>
      <w:rPr>
        <w:rFonts w:hint="default"/>
        <w:lang w:val="zh-CN" w:eastAsia="zh-CN" w:bidi="zh-CN"/>
      </w:rPr>
    </w:lvl>
    <w:lvl w:ilvl="7">
      <w:start w:val="1"/>
      <w:numFmt w:val="bullet"/>
      <w:isLgl w:val="false"/>
      <w:suff w:val="tab"/>
      <w:lvlText w:val="•"/>
      <w:lvlJc w:val="left"/>
      <w:pPr>
        <w:ind w:left="6602" w:hanging="562"/>
      </w:pPr>
      <w:rPr>
        <w:rFonts w:hint="default"/>
        <w:lang w:val="zh-CN" w:eastAsia="zh-CN" w:bidi="zh-CN"/>
      </w:rPr>
    </w:lvl>
    <w:lvl w:ilvl="8">
      <w:start w:val="1"/>
      <w:numFmt w:val="bullet"/>
      <w:isLgl w:val="false"/>
      <w:suff w:val="tab"/>
      <w:lvlText w:val="•"/>
      <w:lvlJc w:val="left"/>
      <w:pPr>
        <w:ind w:left="7357" w:hanging="562"/>
      </w:pPr>
      <w:rPr>
        <w:rFonts w:hint="default"/>
        <w:lang w:val="zh-CN" w:eastAsia="zh-CN" w:bidi="zh-CN"/>
      </w:rPr>
    </w:lvl>
  </w:abstractNum>
  <w:abstractNum w:abstractNumId="14">
    <w:multiLevelType w:val="hybridMultilevel"/>
    <w:lvl w:ilvl="0">
      <w:start w:val="1"/>
      <w:numFmt w:val="decimal"/>
      <w:isLgl w:val="false"/>
      <w:suff w:val="tab"/>
      <w:lvlText w:val="(%1)"/>
      <w:lvlJc w:val="left"/>
      <w:pPr>
        <w:ind w:left="120" w:hanging="483"/>
      </w:pPr>
      <w:rPr>
        <w:rFonts w:hint="default" w:ascii="仿宋" w:hAnsi="仿宋" w:eastAsia="仿宋" w:cs="仿宋"/>
        <w:spacing w:val="0"/>
        <w:sz w:val="21"/>
        <w:szCs w:val="21"/>
        <w:lang w:val="zh-CN" w:eastAsia="zh-CN" w:bidi="zh-CN"/>
      </w:rPr>
    </w:lvl>
    <w:lvl w:ilvl="1">
      <w:start w:val="1"/>
      <w:numFmt w:val="bullet"/>
      <w:isLgl w:val="false"/>
      <w:suff w:val="tab"/>
      <w:lvlText w:val="•"/>
      <w:lvlJc w:val="left"/>
      <w:pPr>
        <w:ind w:left="994" w:hanging="483"/>
      </w:pPr>
      <w:rPr>
        <w:rFonts w:hint="default"/>
        <w:lang w:val="zh-CN" w:eastAsia="zh-CN" w:bidi="zh-CN"/>
      </w:rPr>
    </w:lvl>
    <w:lvl w:ilvl="2">
      <w:start w:val="1"/>
      <w:numFmt w:val="bullet"/>
      <w:isLgl w:val="false"/>
      <w:suff w:val="tab"/>
      <w:lvlText w:val="•"/>
      <w:lvlJc w:val="left"/>
      <w:pPr>
        <w:ind w:left="1869" w:hanging="483"/>
      </w:pPr>
      <w:rPr>
        <w:rFonts w:hint="default"/>
        <w:lang w:val="zh-CN" w:eastAsia="zh-CN" w:bidi="zh-CN"/>
      </w:rPr>
    </w:lvl>
    <w:lvl w:ilvl="3">
      <w:start w:val="1"/>
      <w:numFmt w:val="bullet"/>
      <w:isLgl w:val="false"/>
      <w:suff w:val="tab"/>
      <w:lvlText w:val="•"/>
      <w:lvlJc w:val="left"/>
      <w:pPr>
        <w:ind w:left="2743" w:hanging="483"/>
      </w:pPr>
      <w:rPr>
        <w:rFonts w:hint="default"/>
        <w:lang w:val="zh-CN" w:eastAsia="zh-CN" w:bidi="zh-CN"/>
      </w:rPr>
    </w:lvl>
    <w:lvl w:ilvl="4">
      <w:start w:val="1"/>
      <w:numFmt w:val="bullet"/>
      <w:isLgl w:val="false"/>
      <w:suff w:val="tab"/>
      <w:lvlText w:val="•"/>
      <w:lvlJc w:val="left"/>
      <w:pPr>
        <w:ind w:left="3618" w:hanging="483"/>
      </w:pPr>
      <w:rPr>
        <w:rFonts w:hint="default"/>
        <w:lang w:val="zh-CN" w:eastAsia="zh-CN" w:bidi="zh-CN"/>
      </w:rPr>
    </w:lvl>
    <w:lvl w:ilvl="5">
      <w:start w:val="1"/>
      <w:numFmt w:val="bullet"/>
      <w:isLgl w:val="false"/>
      <w:suff w:val="tab"/>
      <w:lvlText w:val="•"/>
      <w:lvlJc w:val="left"/>
      <w:pPr>
        <w:ind w:left="4493" w:hanging="483"/>
      </w:pPr>
      <w:rPr>
        <w:rFonts w:hint="default"/>
        <w:lang w:val="zh-CN" w:eastAsia="zh-CN" w:bidi="zh-CN"/>
      </w:rPr>
    </w:lvl>
    <w:lvl w:ilvl="6">
      <w:start w:val="1"/>
      <w:numFmt w:val="bullet"/>
      <w:isLgl w:val="false"/>
      <w:suff w:val="tab"/>
      <w:lvlText w:val="•"/>
      <w:lvlJc w:val="left"/>
      <w:pPr>
        <w:ind w:left="5367" w:hanging="483"/>
      </w:pPr>
      <w:rPr>
        <w:rFonts w:hint="default"/>
        <w:lang w:val="zh-CN" w:eastAsia="zh-CN" w:bidi="zh-CN"/>
      </w:rPr>
    </w:lvl>
    <w:lvl w:ilvl="7">
      <w:start w:val="1"/>
      <w:numFmt w:val="bullet"/>
      <w:isLgl w:val="false"/>
      <w:suff w:val="tab"/>
      <w:lvlText w:val="•"/>
      <w:lvlJc w:val="left"/>
      <w:pPr>
        <w:ind w:left="6242" w:hanging="483"/>
      </w:pPr>
      <w:rPr>
        <w:rFonts w:hint="default"/>
        <w:lang w:val="zh-CN" w:eastAsia="zh-CN" w:bidi="zh-CN"/>
      </w:rPr>
    </w:lvl>
    <w:lvl w:ilvl="8">
      <w:start w:val="1"/>
      <w:numFmt w:val="bullet"/>
      <w:isLgl w:val="false"/>
      <w:suff w:val="tab"/>
      <w:lvlText w:val="•"/>
      <w:lvlJc w:val="left"/>
      <w:pPr>
        <w:ind w:left="7117" w:hanging="483"/>
      </w:pPr>
      <w:rPr>
        <w:rFonts w:hint="default"/>
        <w:lang w:val="zh-CN" w:eastAsia="zh-CN" w:bidi="zh-CN"/>
      </w:rPr>
    </w:lvl>
  </w:abstractNum>
  <w:abstractNum w:abstractNumId="15">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8"/>
      <w:numFmt w:val="decimal"/>
      <w:isLgl w:val="false"/>
      <w:suff w:val="tab"/>
      <w:lvlText w:val="%1"/>
      <w:lvlJc w:val="left"/>
      <w:pPr>
        <w:ind w:left="120" w:hanging="627"/>
      </w:pPr>
      <w:rPr>
        <w:rFonts w:hint="default"/>
        <w:lang w:val="zh-CN" w:eastAsia="zh-CN" w:bidi="zh-CN"/>
      </w:rPr>
    </w:lvl>
    <w:lvl w:ilvl="1">
      <w:start w:val="1"/>
      <w:numFmt w:val="decimal"/>
      <w:isLgl w:val="false"/>
      <w:suff w:val="tab"/>
      <w:lvlText w:val="%1.%2"/>
      <w:lvlJc w:val="left"/>
      <w:pPr>
        <w:ind w:left="120" w:hanging="627"/>
      </w:pPr>
      <w:rPr>
        <w:rFonts w:hint="default" w:ascii="仿宋" w:hAnsi="仿宋" w:eastAsia="仿宋" w:cs="仿宋"/>
        <w:b w:val="0"/>
        <w:bCs w:val="0"/>
        <w:spacing w:val="0"/>
        <w:sz w:val="21"/>
        <w:szCs w:val="21"/>
        <w:lang w:val="zh-CN" w:eastAsia="zh-CN" w:bidi="zh-CN"/>
      </w:rPr>
    </w:lvl>
    <w:lvl w:ilvl="2">
      <w:start w:val="1"/>
      <w:numFmt w:val="bullet"/>
      <w:isLgl w:val="false"/>
      <w:suff w:val="tab"/>
      <w:lvlText w:val="•"/>
      <w:lvlJc w:val="left"/>
      <w:pPr>
        <w:ind w:left="1869" w:hanging="627"/>
      </w:pPr>
      <w:rPr>
        <w:rFonts w:hint="default"/>
        <w:lang w:val="zh-CN" w:eastAsia="zh-CN" w:bidi="zh-CN"/>
      </w:rPr>
    </w:lvl>
    <w:lvl w:ilvl="3">
      <w:start w:val="1"/>
      <w:numFmt w:val="bullet"/>
      <w:isLgl w:val="false"/>
      <w:suff w:val="tab"/>
      <w:lvlText w:val="•"/>
      <w:lvlJc w:val="left"/>
      <w:pPr>
        <w:ind w:left="2743" w:hanging="627"/>
      </w:pPr>
      <w:rPr>
        <w:rFonts w:hint="default"/>
        <w:lang w:val="zh-CN" w:eastAsia="zh-CN" w:bidi="zh-CN"/>
      </w:rPr>
    </w:lvl>
    <w:lvl w:ilvl="4">
      <w:start w:val="1"/>
      <w:numFmt w:val="bullet"/>
      <w:isLgl w:val="false"/>
      <w:suff w:val="tab"/>
      <w:lvlText w:val="•"/>
      <w:lvlJc w:val="left"/>
      <w:pPr>
        <w:ind w:left="3618" w:hanging="627"/>
      </w:pPr>
      <w:rPr>
        <w:rFonts w:hint="default"/>
        <w:lang w:val="zh-CN" w:eastAsia="zh-CN" w:bidi="zh-CN"/>
      </w:rPr>
    </w:lvl>
    <w:lvl w:ilvl="5">
      <w:start w:val="1"/>
      <w:numFmt w:val="bullet"/>
      <w:isLgl w:val="false"/>
      <w:suff w:val="tab"/>
      <w:lvlText w:val="•"/>
      <w:lvlJc w:val="left"/>
      <w:pPr>
        <w:ind w:left="4493" w:hanging="627"/>
      </w:pPr>
      <w:rPr>
        <w:rFonts w:hint="default"/>
        <w:lang w:val="zh-CN" w:eastAsia="zh-CN" w:bidi="zh-CN"/>
      </w:rPr>
    </w:lvl>
    <w:lvl w:ilvl="6">
      <w:start w:val="1"/>
      <w:numFmt w:val="bullet"/>
      <w:isLgl w:val="false"/>
      <w:suff w:val="tab"/>
      <w:lvlText w:val="•"/>
      <w:lvlJc w:val="left"/>
      <w:pPr>
        <w:ind w:left="5367" w:hanging="627"/>
      </w:pPr>
      <w:rPr>
        <w:rFonts w:hint="default"/>
        <w:lang w:val="zh-CN" w:eastAsia="zh-CN" w:bidi="zh-CN"/>
      </w:rPr>
    </w:lvl>
    <w:lvl w:ilvl="7">
      <w:start w:val="1"/>
      <w:numFmt w:val="bullet"/>
      <w:isLgl w:val="false"/>
      <w:suff w:val="tab"/>
      <w:lvlText w:val="•"/>
      <w:lvlJc w:val="left"/>
      <w:pPr>
        <w:ind w:left="6242" w:hanging="627"/>
      </w:pPr>
      <w:rPr>
        <w:rFonts w:hint="default"/>
        <w:lang w:val="zh-CN" w:eastAsia="zh-CN" w:bidi="zh-CN"/>
      </w:rPr>
    </w:lvl>
    <w:lvl w:ilvl="8">
      <w:start w:val="1"/>
      <w:numFmt w:val="bullet"/>
      <w:isLgl w:val="false"/>
      <w:suff w:val="tab"/>
      <w:lvlText w:val="•"/>
      <w:lvlJc w:val="left"/>
      <w:pPr>
        <w:ind w:left="7117" w:hanging="627"/>
      </w:pPr>
      <w:rPr>
        <w:rFonts w:hint="default"/>
        <w:lang w:val="zh-CN" w:eastAsia="zh-CN" w:bidi="zh-CN"/>
      </w:rPr>
    </w:lvl>
  </w:abstractNum>
  <w:abstractNum w:abstractNumId="17">
    <w:multiLevelType w:val="hybridMultilevel"/>
    <w:lvl w:ilvl="0">
      <w:start w:val="14"/>
      <w:numFmt w:val="chineseCounting"/>
      <w:isLgl w:val="false"/>
      <w:suff w:val="nothing"/>
      <w:lvlText w:val="%1、"/>
      <w:lvlJc w:val="left"/>
      <w:pPr/>
      <w:rPr>
        <w:rFonts w:hint="eastAsia"/>
      </w:rPr>
    </w:lvl>
    <w:lvl w:ilvl="1">
      <w:start w:val="1"/>
      <w:numFmt w:val="bullet"/>
      <w:isLgl w:val="false"/>
      <w:suff w:val="tab"/>
      <w:lvlText w:val="o"/>
      <w:lvlJc w:val="left"/>
      <w:pPr>
        <w:ind w:left="9521" w:hanging="360"/>
      </w:pPr>
      <w:rPr>
        <w:rFonts w:hint="default" w:ascii="Courier New" w:hAnsi="Courier New" w:eastAsia="Courier New" w:cs="Courier New"/>
      </w:rPr>
    </w:lvl>
    <w:lvl w:ilvl="2">
      <w:start w:val="1"/>
      <w:numFmt w:val="bullet"/>
      <w:isLgl w:val="false"/>
      <w:suff w:val="tab"/>
      <w:lvlText w:val="§"/>
      <w:lvlJc w:val="left"/>
      <w:pPr>
        <w:ind w:left="10241" w:hanging="360"/>
      </w:pPr>
      <w:rPr>
        <w:rFonts w:hint="default" w:ascii="Wingdings" w:hAnsi="Wingdings" w:eastAsia="Wingdings" w:cs="Wingdings"/>
      </w:rPr>
    </w:lvl>
    <w:lvl w:ilvl="3">
      <w:start w:val="1"/>
      <w:numFmt w:val="bullet"/>
      <w:isLgl w:val="false"/>
      <w:suff w:val="tab"/>
      <w:lvlText w:val="·"/>
      <w:lvlJc w:val="left"/>
      <w:pPr>
        <w:ind w:left="10961" w:hanging="360"/>
      </w:pPr>
      <w:rPr>
        <w:rFonts w:hint="default" w:ascii="Symbol" w:hAnsi="Symbol" w:eastAsia="Symbol" w:cs="Symbol"/>
      </w:rPr>
    </w:lvl>
    <w:lvl w:ilvl="4">
      <w:start w:val="1"/>
      <w:numFmt w:val="bullet"/>
      <w:isLgl w:val="false"/>
      <w:suff w:val="tab"/>
      <w:lvlText w:val="o"/>
      <w:lvlJc w:val="left"/>
      <w:pPr>
        <w:ind w:left="11681" w:hanging="360"/>
      </w:pPr>
      <w:rPr>
        <w:rFonts w:hint="default" w:ascii="Courier New" w:hAnsi="Courier New" w:eastAsia="Courier New" w:cs="Courier New"/>
      </w:rPr>
    </w:lvl>
    <w:lvl w:ilvl="5">
      <w:start w:val="1"/>
      <w:numFmt w:val="bullet"/>
      <w:isLgl w:val="false"/>
      <w:suff w:val="tab"/>
      <w:lvlText w:val="§"/>
      <w:lvlJc w:val="left"/>
      <w:pPr>
        <w:ind w:left="12401" w:hanging="360"/>
      </w:pPr>
      <w:rPr>
        <w:rFonts w:hint="default" w:ascii="Wingdings" w:hAnsi="Wingdings" w:eastAsia="Wingdings" w:cs="Wingdings"/>
      </w:rPr>
    </w:lvl>
    <w:lvl w:ilvl="6">
      <w:start w:val="1"/>
      <w:numFmt w:val="bullet"/>
      <w:isLgl w:val="false"/>
      <w:suff w:val="tab"/>
      <w:lvlText w:val="·"/>
      <w:lvlJc w:val="left"/>
      <w:pPr>
        <w:ind w:left="13121" w:hanging="360"/>
      </w:pPr>
      <w:rPr>
        <w:rFonts w:hint="default" w:ascii="Symbol" w:hAnsi="Symbol" w:eastAsia="Symbol" w:cs="Symbol"/>
      </w:rPr>
    </w:lvl>
    <w:lvl w:ilvl="7">
      <w:start w:val="1"/>
      <w:numFmt w:val="bullet"/>
      <w:isLgl w:val="false"/>
      <w:suff w:val="tab"/>
      <w:lvlText w:val="o"/>
      <w:lvlJc w:val="left"/>
      <w:pPr>
        <w:ind w:left="13841" w:hanging="360"/>
      </w:pPr>
      <w:rPr>
        <w:rFonts w:hint="default" w:ascii="Courier New" w:hAnsi="Courier New" w:eastAsia="Courier New" w:cs="Courier New"/>
      </w:rPr>
    </w:lvl>
    <w:lvl w:ilvl="8">
      <w:start w:val="1"/>
      <w:numFmt w:val="bullet"/>
      <w:isLgl w:val="false"/>
      <w:suff w:val="tab"/>
      <w:lvlText w:val="§"/>
      <w:lvlJc w:val="left"/>
      <w:pPr>
        <w:ind w:left="14561" w:hanging="360"/>
      </w:pPr>
      <w:rPr>
        <w:rFonts w:hint="default" w:ascii="Wingdings" w:hAnsi="Wingdings" w:eastAsia="Wingdings" w:cs="Wingdings"/>
      </w:rPr>
    </w:lvl>
  </w:abstractNum>
  <w:abstractNum w:abstractNumId="18">
    <w:multiLevelType w:val="hybridMultilevel"/>
    <w:lvl w:ilvl="0">
      <w:start w:val="2"/>
      <w:numFmt w:val="decimal"/>
      <w:isLgl w:val="false"/>
      <w:suff w:val="tab"/>
      <w:lvlText w:val="%1"/>
      <w:lvlJc w:val="left"/>
      <w:pPr>
        <w:ind w:left="120" w:hanging="627"/>
      </w:pPr>
      <w:rPr>
        <w:rFonts w:hint="default"/>
        <w:lang w:val="zh-CN" w:eastAsia="zh-CN" w:bidi="zh-CN"/>
      </w:rPr>
    </w:lvl>
    <w:lvl w:ilvl="1">
      <w:start w:val="1"/>
      <w:numFmt w:val="decimal"/>
      <w:isLgl w:val="false"/>
      <w:suff w:val="tab"/>
      <w:lvlText w:val="%1.%2"/>
      <w:lvlJc w:val="left"/>
      <w:pPr>
        <w:ind w:left="120" w:hanging="627"/>
      </w:pPr>
      <w:rPr>
        <w:rFonts w:hint="default" w:ascii="仿宋" w:hAnsi="仿宋" w:eastAsia="仿宋" w:cs="Times New Roman"/>
        <w:spacing w:val="0"/>
        <w:sz w:val="21"/>
        <w:szCs w:val="21"/>
        <w:lang w:val="zh-CN" w:eastAsia="zh-CN" w:bidi="zh-CN"/>
      </w:rPr>
    </w:lvl>
    <w:lvl w:ilvl="2">
      <w:start w:val="1"/>
      <w:numFmt w:val="bullet"/>
      <w:isLgl w:val="false"/>
      <w:suff w:val="tab"/>
      <w:lvlText w:val="•"/>
      <w:lvlJc w:val="left"/>
      <w:pPr>
        <w:ind w:left="1869" w:hanging="627"/>
      </w:pPr>
      <w:rPr>
        <w:rFonts w:hint="default"/>
        <w:lang w:val="zh-CN" w:eastAsia="zh-CN" w:bidi="zh-CN"/>
      </w:rPr>
    </w:lvl>
    <w:lvl w:ilvl="3">
      <w:start w:val="1"/>
      <w:numFmt w:val="bullet"/>
      <w:isLgl w:val="false"/>
      <w:suff w:val="tab"/>
      <w:lvlText w:val="•"/>
      <w:lvlJc w:val="left"/>
      <w:pPr>
        <w:ind w:left="2743" w:hanging="627"/>
      </w:pPr>
      <w:rPr>
        <w:rFonts w:hint="default"/>
        <w:lang w:val="zh-CN" w:eastAsia="zh-CN" w:bidi="zh-CN"/>
      </w:rPr>
    </w:lvl>
    <w:lvl w:ilvl="4">
      <w:start w:val="1"/>
      <w:numFmt w:val="bullet"/>
      <w:isLgl w:val="false"/>
      <w:suff w:val="tab"/>
      <w:lvlText w:val="•"/>
      <w:lvlJc w:val="left"/>
      <w:pPr>
        <w:ind w:left="3618" w:hanging="627"/>
      </w:pPr>
      <w:rPr>
        <w:rFonts w:hint="default"/>
        <w:lang w:val="zh-CN" w:eastAsia="zh-CN" w:bidi="zh-CN"/>
      </w:rPr>
    </w:lvl>
    <w:lvl w:ilvl="5">
      <w:start w:val="1"/>
      <w:numFmt w:val="bullet"/>
      <w:isLgl w:val="false"/>
      <w:suff w:val="tab"/>
      <w:lvlText w:val="•"/>
      <w:lvlJc w:val="left"/>
      <w:pPr>
        <w:ind w:left="4493" w:hanging="627"/>
      </w:pPr>
      <w:rPr>
        <w:rFonts w:hint="default"/>
        <w:lang w:val="zh-CN" w:eastAsia="zh-CN" w:bidi="zh-CN"/>
      </w:rPr>
    </w:lvl>
    <w:lvl w:ilvl="6">
      <w:start w:val="1"/>
      <w:numFmt w:val="bullet"/>
      <w:isLgl w:val="false"/>
      <w:suff w:val="tab"/>
      <w:lvlText w:val="•"/>
      <w:lvlJc w:val="left"/>
      <w:pPr>
        <w:ind w:left="5367" w:hanging="627"/>
      </w:pPr>
      <w:rPr>
        <w:rFonts w:hint="default"/>
        <w:lang w:val="zh-CN" w:eastAsia="zh-CN" w:bidi="zh-CN"/>
      </w:rPr>
    </w:lvl>
    <w:lvl w:ilvl="7">
      <w:start w:val="1"/>
      <w:numFmt w:val="bullet"/>
      <w:isLgl w:val="false"/>
      <w:suff w:val="tab"/>
      <w:lvlText w:val="•"/>
      <w:lvlJc w:val="left"/>
      <w:pPr>
        <w:ind w:left="6242" w:hanging="627"/>
      </w:pPr>
      <w:rPr>
        <w:rFonts w:hint="default"/>
        <w:lang w:val="zh-CN" w:eastAsia="zh-CN" w:bidi="zh-CN"/>
      </w:rPr>
    </w:lvl>
    <w:lvl w:ilvl="8">
      <w:start w:val="1"/>
      <w:numFmt w:val="bullet"/>
      <w:isLgl w:val="false"/>
      <w:suff w:val="tab"/>
      <w:lvlText w:val="•"/>
      <w:lvlJc w:val="left"/>
      <w:pPr>
        <w:ind w:left="7117" w:hanging="627"/>
      </w:pPr>
      <w:rPr>
        <w:rFonts w:hint="default"/>
        <w:lang w:val="zh-CN" w:eastAsia="zh-CN" w:bidi="zh-CN"/>
      </w:rPr>
    </w:lvl>
  </w:abstractNum>
  <w:abstractNum w:abstractNumId="19">
    <w:multiLevelType w:val="hybridMultilevel"/>
    <w:lvl w:ilvl="0">
      <w:start w:val="1"/>
      <w:numFmt w:val="decimal"/>
      <w:isLgl w:val="false"/>
      <w:suff w:val="tab"/>
      <w:lvlText w:val="(%1)"/>
      <w:lvlJc w:val="left"/>
      <w:pPr>
        <w:ind w:left="120" w:hanging="483"/>
      </w:pPr>
      <w:rPr>
        <w:rFonts w:hint="default" w:ascii="仿宋" w:hAnsi="仿宋" w:eastAsia="仿宋" w:cs="仿宋"/>
        <w:spacing w:val="0"/>
        <w:sz w:val="21"/>
        <w:szCs w:val="21"/>
        <w:lang w:val="zh-CN" w:eastAsia="zh-CN" w:bidi="zh-CN"/>
      </w:rPr>
    </w:lvl>
    <w:lvl w:ilvl="1">
      <w:start w:val="1"/>
      <w:numFmt w:val="bullet"/>
      <w:isLgl w:val="false"/>
      <w:suff w:val="tab"/>
      <w:lvlText w:val="•"/>
      <w:lvlJc w:val="left"/>
      <w:pPr>
        <w:ind w:left="994" w:hanging="483"/>
      </w:pPr>
      <w:rPr>
        <w:rFonts w:hint="default"/>
        <w:lang w:val="zh-CN" w:eastAsia="zh-CN" w:bidi="zh-CN"/>
      </w:rPr>
    </w:lvl>
    <w:lvl w:ilvl="2">
      <w:start w:val="1"/>
      <w:numFmt w:val="bullet"/>
      <w:isLgl w:val="false"/>
      <w:suff w:val="tab"/>
      <w:lvlText w:val="•"/>
      <w:lvlJc w:val="left"/>
      <w:pPr>
        <w:ind w:left="1869" w:hanging="483"/>
      </w:pPr>
      <w:rPr>
        <w:rFonts w:hint="default"/>
        <w:lang w:val="zh-CN" w:eastAsia="zh-CN" w:bidi="zh-CN"/>
      </w:rPr>
    </w:lvl>
    <w:lvl w:ilvl="3">
      <w:start w:val="1"/>
      <w:numFmt w:val="bullet"/>
      <w:isLgl w:val="false"/>
      <w:suff w:val="tab"/>
      <w:lvlText w:val="•"/>
      <w:lvlJc w:val="left"/>
      <w:pPr>
        <w:ind w:left="2743" w:hanging="483"/>
      </w:pPr>
      <w:rPr>
        <w:rFonts w:hint="default"/>
        <w:lang w:val="zh-CN" w:eastAsia="zh-CN" w:bidi="zh-CN"/>
      </w:rPr>
    </w:lvl>
    <w:lvl w:ilvl="4">
      <w:start w:val="1"/>
      <w:numFmt w:val="bullet"/>
      <w:isLgl w:val="false"/>
      <w:suff w:val="tab"/>
      <w:lvlText w:val="•"/>
      <w:lvlJc w:val="left"/>
      <w:pPr>
        <w:ind w:left="3618" w:hanging="483"/>
      </w:pPr>
      <w:rPr>
        <w:rFonts w:hint="default"/>
        <w:lang w:val="zh-CN" w:eastAsia="zh-CN" w:bidi="zh-CN"/>
      </w:rPr>
    </w:lvl>
    <w:lvl w:ilvl="5">
      <w:start w:val="1"/>
      <w:numFmt w:val="bullet"/>
      <w:isLgl w:val="false"/>
      <w:suff w:val="tab"/>
      <w:lvlText w:val="•"/>
      <w:lvlJc w:val="left"/>
      <w:pPr>
        <w:ind w:left="4493" w:hanging="483"/>
      </w:pPr>
      <w:rPr>
        <w:rFonts w:hint="default"/>
        <w:lang w:val="zh-CN" w:eastAsia="zh-CN" w:bidi="zh-CN"/>
      </w:rPr>
    </w:lvl>
    <w:lvl w:ilvl="6">
      <w:start w:val="1"/>
      <w:numFmt w:val="bullet"/>
      <w:isLgl w:val="false"/>
      <w:suff w:val="tab"/>
      <w:lvlText w:val="•"/>
      <w:lvlJc w:val="left"/>
      <w:pPr>
        <w:ind w:left="5367" w:hanging="483"/>
      </w:pPr>
      <w:rPr>
        <w:rFonts w:hint="default"/>
        <w:lang w:val="zh-CN" w:eastAsia="zh-CN" w:bidi="zh-CN"/>
      </w:rPr>
    </w:lvl>
    <w:lvl w:ilvl="7">
      <w:start w:val="1"/>
      <w:numFmt w:val="bullet"/>
      <w:isLgl w:val="false"/>
      <w:suff w:val="tab"/>
      <w:lvlText w:val="•"/>
      <w:lvlJc w:val="left"/>
      <w:pPr>
        <w:ind w:left="6242" w:hanging="483"/>
      </w:pPr>
      <w:rPr>
        <w:rFonts w:hint="default"/>
        <w:lang w:val="zh-CN" w:eastAsia="zh-CN" w:bidi="zh-CN"/>
      </w:rPr>
    </w:lvl>
    <w:lvl w:ilvl="8">
      <w:start w:val="1"/>
      <w:numFmt w:val="bullet"/>
      <w:isLgl w:val="false"/>
      <w:suff w:val="tab"/>
      <w:lvlText w:val="•"/>
      <w:lvlJc w:val="left"/>
      <w:pPr>
        <w:ind w:left="7117" w:hanging="483"/>
      </w:pPr>
      <w:rPr>
        <w:rFonts w:hint="default"/>
        <w:lang w:val="zh-CN" w:eastAsia="zh-CN" w:bidi="zh-CN"/>
      </w:rPr>
    </w:lvl>
  </w:abstractNum>
  <w:abstractNum w:abstractNumId="20">
    <w:multiLevelType w:val="hybridMultilevel"/>
    <w:lvl w:ilvl="0">
      <w:start w:val="1"/>
      <w:numFmt w:val="decimal"/>
      <w:isLgl w:val="false"/>
      <w:suff w:val="tab"/>
      <w:lvlText w:val="（%1）"/>
      <w:lvlJc w:val="left"/>
      <w:pPr>
        <w:ind w:left="120" w:hanging="819"/>
      </w:pPr>
      <w:rPr>
        <w:rFonts w:hint="default" w:ascii="仿宋" w:hAnsi="仿宋" w:eastAsia="仿宋" w:cs="仿宋"/>
        <w:spacing w:val="-5"/>
        <w:sz w:val="21"/>
        <w:szCs w:val="21"/>
        <w:lang w:val="zh-CN" w:eastAsia="zh-CN" w:bidi="zh-CN"/>
      </w:rPr>
    </w:lvl>
    <w:lvl w:ilvl="1">
      <w:start w:val="1"/>
      <w:numFmt w:val="bullet"/>
      <w:isLgl w:val="false"/>
      <w:suff w:val="tab"/>
      <w:lvlText w:val="•"/>
      <w:lvlJc w:val="left"/>
      <w:pPr>
        <w:ind w:left="994" w:hanging="819"/>
      </w:pPr>
      <w:rPr>
        <w:rFonts w:hint="default"/>
        <w:lang w:val="zh-CN" w:eastAsia="zh-CN" w:bidi="zh-CN"/>
      </w:rPr>
    </w:lvl>
    <w:lvl w:ilvl="2">
      <w:start w:val="1"/>
      <w:numFmt w:val="bullet"/>
      <w:isLgl w:val="false"/>
      <w:suff w:val="tab"/>
      <w:lvlText w:val="•"/>
      <w:lvlJc w:val="left"/>
      <w:pPr>
        <w:ind w:left="1869" w:hanging="819"/>
      </w:pPr>
      <w:rPr>
        <w:rFonts w:hint="default"/>
        <w:lang w:val="zh-CN" w:eastAsia="zh-CN" w:bidi="zh-CN"/>
      </w:rPr>
    </w:lvl>
    <w:lvl w:ilvl="3">
      <w:start w:val="1"/>
      <w:numFmt w:val="bullet"/>
      <w:isLgl w:val="false"/>
      <w:suff w:val="tab"/>
      <w:lvlText w:val="•"/>
      <w:lvlJc w:val="left"/>
      <w:pPr>
        <w:ind w:left="2743" w:hanging="819"/>
      </w:pPr>
      <w:rPr>
        <w:rFonts w:hint="default"/>
        <w:lang w:val="zh-CN" w:eastAsia="zh-CN" w:bidi="zh-CN"/>
      </w:rPr>
    </w:lvl>
    <w:lvl w:ilvl="4">
      <w:start w:val="1"/>
      <w:numFmt w:val="bullet"/>
      <w:isLgl w:val="false"/>
      <w:suff w:val="tab"/>
      <w:lvlText w:val="•"/>
      <w:lvlJc w:val="left"/>
      <w:pPr>
        <w:ind w:left="3618" w:hanging="819"/>
      </w:pPr>
      <w:rPr>
        <w:rFonts w:hint="default"/>
        <w:lang w:val="zh-CN" w:eastAsia="zh-CN" w:bidi="zh-CN"/>
      </w:rPr>
    </w:lvl>
    <w:lvl w:ilvl="5">
      <w:start w:val="1"/>
      <w:numFmt w:val="bullet"/>
      <w:isLgl w:val="false"/>
      <w:suff w:val="tab"/>
      <w:lvlText w:val="•"/>
      <w:lvlJc w:val="left"/>
      <w:pPr>
        <w:ind w:left="4493" w:hanging="819"/>
      </w:pPr>
      <w:rPr>
        <w:rFonts w:hint="default"/>
        <w:lang w:val="zh-CN" w:eastAsia="zh-CN" w:bidi="zh-CN"/>
      </w:rPr>
    </w:lvl>
    <w:lvl w:ilvl="6">
      <w:start w:val="1"/>
      <w:numFmt w:val="bullet"/>
      <w:isLgl w:val="false"/>
      <w:suff w:val="tab"/>
      <w:lvlText w:val="•"/>
      <w:lvlJc w:val="left"/>
      <w:pPr>
        <w:ind w:left="5367" w:hanging="819"/>
      </w:pPr>
      <w:rPr>
        <w:rFonts w:hint="default"/>
        <w:lang w:val="zh-CN" w:eastAsia="zh-CN" w:bidi="zh-CN"/>
      </w:rPr>
    </w:lvl>
    <w:lvl w:ilvl="7">
      <w:start w:val="1"/>
      <w:numFmt w:val="bullet"/>
      <w:isLgl w:val="false"/>
      <w:suff w:val="tab"/>
      <w:lvlText w:val="•"/>
      <w:lvlJc w:val="left"/>
      <w:pPr>
        <w:ind w:left="6242" w:hanging="819"/>
      </w:pPr>
      <w:rPr>
        <w:rFonts w:hint="default"/>
        <w:lang w:val="zh-CN" w:eastAsia="zh-CN" w:bidi="zh-CN"/>
      </w:rPr>
    </w:lvl>
    <w:lvl w:ilvl="8">
      <w:start w:val="1"/>
      <w:numFmt w:val="bullet"/>
      <w:isLgl w:val="false"/>
      <w:suff w:val="tab"/>
      <w:lvlText w:val="•"/>
      <w:lvlJc w:val="left"/>
      <w:pPr>
        <w:ind w:left="7117" w:hanging="819"/>
      </w:pPr>
      <w:rPr>
        <w:rFonts w:hint="default"/>
        <w:lang w:val="zh-CN" w:eastAsia="zh-CN" w:bidi="zh-CN"/>
      </w:rPr>
    </w:lvl>
  </w:abstractNum>
  <w:abstractNum w:abstractNumId="21">
    <w:multiLevelType w:val="hybridMultilevel"/>
    <w:lvl w:ilvl="0">
      <w:start w:val="4"/>
      <w:numFmt w:val="decimal"/>
      <w:isLgl w:val="false"/>
      <w:suff w:val="tab"/>
      <w:lvlText w:val="%1"/>
      <w:lvlJc w:val="left"/>
      <w:pPr>
        <w:ind w:left="120" w:hanging="656"/>
      </w:pPr>
      <w:rPr>
        <w:rFonts w:hint="default"/>
        <w:lang w:val="zh-CN" w:eastAsia="zh-CN" w:bidi="zh-CN"/>
      </w:rPr>
    </w:lvl>
    <w:lvl w:ilvl="1">
      <w:start w:val="1"/>
      <w:numFmt w:val="decimal"/>
      <w:isLgl w:val="false"/>
      <w:suff w:val="tab"/>
      <w:lvlText w:val="%1.%2"/>
      <w:lvlJc w:val="left"/>
      <w:pPr>
        <w:ind w:left="120" w:hanging="656"/>
      </w:pPr>
      <w:rPr>
        <w:rFonts w:hint="default" w:ascii="仿宋" w:hAnsi="仿宋" w:eastAsia="仿宋" w:cs="仿宋"/>
        <w:b w:val="0"/>
        <w:bCs/>
        <w:spacing w:val="0"/>
        <w:sz w:val="21"/>
        <w:szCs w:val="21"/>
        <w:lang w:val="zh-CN" w:eastAsia="zh-CN" w:bidi="zh-CN"/>
      </w:rPr>
    </w:lvl>
    <w:lvl w:ilvl="2">
      <w:start w:val="1"/>
      <w:numFmt w:val="bullet"/>
      <w:isLgl w:val="false"/>
      <w:suff w:val="tab"/>
      <w:lvlText w:val="•"/>
      <w:lvlJc w:val="left"/>
      <w:pPr>
        <w:ind w:left="1869" w:hanging="656"/>
      </w:pPr>
      <w:rPr>
        <w:rFonts w:hint="default"/>
        <w:lang w:val="zh-CN" w:eastAsia="zh-CN" w:bidi="zh-CN"/>
      </w:rPr>
    </w:lvl>
    <w:lvl w:ilvl="3">
      <w:start w:val="1"/>
      <w:numFmt w:val="bullet"/>
      <w:isLgl w:val="false"/>
      <w:suff w:val="tab"/>
      <w:lvlText w:val="•"/>
      <w:lvlJc w:val="left"/>
      <w:pPr>
        <w:ind w:left="2743" w:hanging="656"/>
      </w:pPr>
      <w:rPr>
        <w:rFonts w:hint="default"/>
        <w:lang w:val="zh-CN" w:eastAsia="zh-CN" w:bidi="zh-CN"/>
      </w:rPr>
    </w:lvl>
    <w:lvl w:ilvl="4">
      <w:start w:val="1"/>
      <w:numFmt w:val="bullet"/>
      <w:isLgl w:val="false"/>
      <w:suff w:val="tab"/>
      <w:lvlText w:val="•"/>
      <w:lvlJc w:val="left"/>
      <w:pPr>
        <w:ind w:left="3618" w:hanging="656"/>
      </w:pPr>
      <w:rPr>
        <w:rFonts w:hint="default"/>
        <w:lang w:val="zh-CN" w:eastAsia="zh-CN" w:bidi="zh-CN"/>
      </w:rPr>
    </w:lvl>
    <w:lvl w:ilvl="5">
      <w:start w:val="1"/>
      <w:numFmt w:val="bullet"/>
      <w:isLgl w:val="false"/>
      <w:suff w:val="tab"/>
      <w:lvlText w:val="•"/>
      <w:lvlJc w:val="left"/>
      <w:pPr>
        <w:ind w:left="4493" w:hanging="656"/>
      </w:pPr>
      <w:rPr>
        <w:rFonts w:hint="default"/>
        <w:lang w:val="zh-CN" w:eastAsia="zh-CN" w:bidi="zh-CN"/>
      </w:rPr>
    </w:lvl>
    <w:lvl w:ilvl="6">
      <w:start w:val="1"/>
      <w:numFmt w:val="bullet"/>
      <w:isLgl w:val="false"/>
      <w:suff w:val="tab"/>
      <w:lvlText w:val="•"/>
      <w:lvlJc w:val="left"/>
      <w:pPr>
        <w:ind w:left="5367" w:hanging="656"/>
      </w:pPr>
      <w:rPr>
        <w:rFonts w:hint="default"/>
        <w:lang w:val="zh-CN" w:eastAsia="zh-CN" w:bidi="zh-CN"/>
      </w:rPr>
    </w:lvl>
    <w:lvl w:ilvl="7">
      <w:start w:val="1"/>
      <w:numFmt w:val="bullet"/>
      <w:isLgl w:val="false"/>
      <w:suff w:val="tab"/>
      <w:lvlText w:val="•"/>
      <w:lvlJc w:val="left"/>
      <w:pPr>
        <w:ind w:left="6242" w:hanging="656"/>
      </w:pPr>
      <w:rPr>
        <w:rFonts w:hint="default"/>
        <w:lang w:val="zh-CN" w:eastAsia="zh-CN" w:bidi="zh-CN"/>
      </w:rPr>
    </w:lvl>
    <w:lvl w:ilvl="8">
      <w:start w:val="1"/>
      <w:numFmt w:val="bullet"/>
      <w:isLgl w:val="false"/>
      <w:suff w:val="tab"/>
      <w:lvlText w:val="•"/>
      <w:lvlJc w:val="left"/>
      <w:pPr>
        <w:ind w:left="7117" w:hanging="656"/>
      </w:pPr>
      <w:rPr>
        <w:rFonts w:hint="default"/>
        <w:lang w:val="zh-CN" w:eastAsia="zh-CN" w:bidi="zh-CN"/>
      </w:rPr>
    </w:lvl>
  </w:abstractNum>
  <w:abstractNum w:abstractNumId="22">
    <w:multiLevelType w:val="hybridMultilevel"/>
    <w:lvl w:ilvl="0">
      <w:start w:val="7"/>
      <w:numFmt w:val="japaneseCounting"/>
      <w:isLgl w:val="false"/>
      <w:suff w:val="tab"/>
      <w:lvlText w:val="%1、"/>
      <w:lvlJc w:val="left"/>
      <w:pPr>
        <w:ind w:left="1202" w:hanging="720"/>
      </w:pPr>
      <w:rPr>
        <w:rFonts w:hint="default"/>
      </w:rPr>
    </w:lvl>
    <w:lvl w:ilvl="1">
      <w:start w:val="1"/>
      <w:numFmt w:val="lowerLetter"/>
      <w:isLgl w:val="false"/>
      <w:suff w:val="tab"/>
      <w:lvlText w:val="%2)"/>
      <w:lvlJc w:val="left"/>
      <w:pPr>
        <w:ind w:left="1362" w:hanging="440"/>
      </w:pPr>
    </w:lvl>
    <w:lvl w:ilvl="2">
      <w:start w:val="1"/>
      <w:numFmt w:val="lowerRoman"/>
      <w:isLgl w:val="false"/>
      <w:suff w:val="tab"/>
      <w:lvlText w:val="%3."/>
      <w:lvlJc w:val="right"/>
      <w:pPr>
        <w:ind w:left="1802" w:hanging="440"/>
      </w:pPr>
    </w:lvl>
    <w:lvl w:ilvl="3">
      <w:start w:val="1"/>
      <w:numFmt w:val="decimal"/>
      <w:isLgl w:val="false"/>
      <w:suff w:val="tab"/>
      <w:lvlText w:val="%4."/>
      <w:lvlJc w:val="left"/>
      <w:pPr>
        <w:ind w:left="2242" w:hanging="440"/>
      </w:pPr>
    </w:lvl>
    <w:lvl w:ilvl="4">
      <w:start w:val="1"/>
      <w:numFmt w:val="lowerLetter"/>
      <w:isLgl w:val="false"/>
      <w:suff w:val="tab"/>
      <w:lvlText w:val="%5)"/>
      <w:lvlJc w:val="left"/>
      <w:pPr>
        <w:ind w:left="2682" w:hanging="440"/>
      </w:pPr>
    </w:lvl>
    <w:lvl w:ilvl="5">
      <w:start w:val="1"/>
      <w:numFmt w:val="lowerRoman"/>
      <w:isLgl w:val="false"/>
      <w:suff w:val="tab"/>
      <w:lvlText w:val="%6."/>
      <w:lvlJc w:val="right"/>
      <w:pPr>
        <w:ind w:left="3122" w:hanging="440"/>
      </w:pPr>
    </w:lvl>
    <w:lvl w:ilvl="6">
      <w:start w:val="1"/>
      <w:numFmt w:val="decimal"/>
      <w:isLgl w:val="false"/>
      <w:suff w:val="tab"/>
      <w:lvlText w:val="%7."/>
      <w:lvlJc w:val="left"/>
      <w:pPr>
        <w:ind w:left="3562" w:hanging="440"/>
      </w:pPr>
    </w:lvl>
    <w:lvl w:ilvl="7">
      <w:start w:val="1"/>
      <w:numFmt w:val="lowerLetter"/>
      <w:isLgl w:val="false"/>
      <w:suff w:val="tab"/>
      <w:lvlText w:val="%8)"/>
      <w:lvlJc w:val="left"/>
      <w:pPr>
        <w:ind w:left="4002" w:hanging="440"/>
      </w:pPr>
    </w:lvl>
    <w:lvl w:ilvl="8">
      <w:start w:val="1"/>
      <w:numFmt w:val="lowerRoman"/>
      <w:isLgl w:val="false"/>
      <w:suff w:val="tab"/>
      <w:lvlText w:val="%9."/>
      <w:lvlJc w:val="right"/>
      <w:pPr>
        <w:ind w:left="4442" w:hanging="440"/>
      </w:pPr>
    </w:lvl>
  </w:abstractNum>
  <w:abstractNum w:abstractNumId="23">
    <w:multiLevelType w:val="hybridMultilevel"/>
    <w:lvl w:ilvl="0">
      <w:start w:val="5"/>
      <w:numFmt w:val="decimal"/>
      <w:isLgl w:val="false"/>
      <w:suff w:val="tab"/>
      <w:lvlText w:val="%1"/>
      <w:lvlJc w:val="left"/>
      <w:pPr>
        <w:ind w:left="120" w:hanging="627"/>
      </w:pPr>
      <w:rPr>
        <w:rFonts w:hint="default"/>
        <w:lang w:val="zh-CN" w:eastAsia="zh-CN" w:bidi="zh-CN"/>
      </w:rPr>
    </w:lvl>
    <w:lvl w:ilvl="1">
      <w:start w:val="1"/>
      <w:numFmt w:val="decimal"/>
      <w:isLgl w:val="false"/>
      <w:suff w:val="tab"/>
      <w:lvlText w:val="%1.%2"/>
      <w:lvlJc w:val="left"/>
      <w:pPr>
        <w:ind w:left="120" w:hanging="627"/>
      </w:pPr>
      <w:rPr>
        <w:rFonts w:hint="default" w:ascii="仿宋" w:hAnsi="仿宋" w:eastAsia="仿宋" w:cs="仿宋"/>
        <w:spacing w:val="0"/>
        <w:sz w:val="21"/>
        <w:szCs w:val="21"/>
        <w:lang w:val="zh-CN" w:eastAsia="zh-CN" w:bidi="zh-CN"/>
      </w:rPr>
    </w:lvl>
    <w:lvl w:ilvl="2">
      <w:start w:val="1"/>
      <w:numFmt w:val="bullet"/>
      <w:isLgl w:val="false"/>
      <w:suff w:val="tab"/>
      <w:lvlText w:val="•"/>
      <w:lvlJc w:val="left"/>
      <w:pPr>
        <w:ind w:left="1869" w:hanging="627"/>
      </w:pPr>
      <w:rPr>
        <w:rFonts w:hint="default"/>
        <w:lang w:val="zh-CN" w:eastAsia="zh-CN" w:bidi="zh-CN"/>
      </w:rPr>
    </w:lvl>
    <w:lvl w:ilvl="3">
      <w:start w:val="1"/>
      <w:numFmt w:val="bullet"/>
      <w:isLgl w:val="false"/>
      <w:suff w:val="tab"/>
      <w:lvlText w:val="•"/>
      <w:lvlJc w:val="left"/>
      <w:pPr>
        <w:ind w:left="2743" w:hanging="627"/>
      </w:pPr>
      <w:rPr>
        <w:rFonts w:hint="default"/>
        <w:lang w:val="zh-CN" w:eastAsia="zh-CN" w:bidi="zh-CN"/>
      </w:rPr>
    </w:lvl>
    <w:lvl w:ilvl="4">
      <w:start w:val="1"/>
      <w:numFmt w:val="bullet"/>
      <w:isLgl w:val="false"/>
      <w:suff w:val="tab"/>
      <w:lvlText w:val="•"/>
      <w:lvlJc w:val="left"/>
      <w:pPr>
        <w:ind w:left="3618" w:hanging="627"/>
      </w:pPr>
      <w:rPr>
        <w:rFonts w:hint="default"/>
        <w:lang w:val="zh-CN" w:eastAsia="zh-CN" w:bidi="zh-CN"/>
      </w:rPr>
    </w:lvl>
    <w:lvl w:ilvl="5">
      <w:start w:val="1"/>
      <w:numFmt w:val="bullet"/>
      <w:isLgl w:val="false"/>
      <w:suff w:val="tab"/>
      <w:lvlText w:val="•"/>
      <w:lvlJc w:val="left"/>
      <w:pPr>
        <w:ind w:left="4493" w:hanging="627"/>
      </w:pPr>
      <w:rPr>
        <w:rFonts w:hint="default"/>
        <w:lang w:val="zh-CN" w:eastAsia="zh-CN" w:bidi="zh-CN"/>
      </w:rPr>
    </w:lvl>
    <w:lvl w:ilvl="6">
      <w:start w:val="1"/>
      <w:numFmt w:val="bullet"/>
      <w:isLgl w:val="false"/>
      <w:suff w:val="tab"/>
      <w:lvlText w:val="•"/>
      <w:lvlJc w:val="left"/>
      <w:pPr>
        <w:ind w:left="5367" w:hanging="627"/>
      </w:pPr>
      <w:rPr>
        <w:rFonts w:hint="default"/>
        <w:lang w:val="zh-CN" w:eastAsia="zh-CN" w:bidi="zh-CN"/>
      </w:rPr>
    </w:lvl>
    <w:lvl w:ilvl="7">
      <w:start w:val="1"/>
      <w:numFmt w:val="bullet"/>
      <w:isLgl w:val="false"/>
      <w:suff w:val="tab"/>
      <w:lvlText w:val="•"/>
      <w:lvlJc w:val="left"/>
      <w:pPr>
        <w:ind w:left="6242" w:hanging="627"/>
      </w:pPr>
      <w:rPr>
        <w:rFonts w:hint="default"/>
        <w:lang w:val="zh-CN" w:eastAsia="zh-CN" w:bidi="zh-CN"/>
      </w:rPr>
    </w:lvl>
    <w:lvl w:ilvl="8">
      <w:start w:val="1"/>
      <w:numFmt w:val="bullet"/>
      <w:isLgl w:val="false"/>
      <w:suff w:val="tab"/>
      <w:lvlText w:val="•"/>
      <w:lvlJc w:val="left"/>
      <w:pPr>
        <w:ind w:left="7117" w:hanging="627"/>
      </w:pPr>
      <w:rPr>
        <w:rFonts w:hint="default"/>
        <w:lang w:val="zh-CN" w:eastAsia="zh-CN" w:bidi="zh-CN"/>
      </w:rPr>
    </w:lvl>
  </w:abstractNum>
  <w:abstractNum w:abstractNumId="24">
    <w:multiLevelType w:val="hybridMultilevel"/>
    <w:lvl w:ilvl="0">
      <w:start w:val="3"/>
      <w:numFmt w:val="decimal"/>
      <w:isLgl w:val="false"/>
      <w:suff w:val="tab"/>
      <w:lvlText w:val="%1"/>
      <w:lvlJc w:val="left"/>
      <w:pPr>
        <w:ind w:left="1322" w:hanging="562"/>
      </w:pPr>
      <w:rPr>
        <w:rFonts w:hint="default"/>
        <w:lang w:val="zh-CN" w:eastAsia="zh-CN" w:bidi="zh-CN"/>
      </w:rPr>
    </w:lvl>
    <w:lvl w:ilvl="1">
      <w:start w:val="1"/>
      <w:numFmt w:val="decimal"/>
      <w:isLgl w:val="false"/>
      <w:suff w:val="tab"/>
      <w:lvlText w:val="%1.%2"/>
      <w:lvlJc w:val="left"/>
      <w:pPr>
        <w:ind w:left="1322" w:hanging="562"/>
      </w:pPr>
      <w:rPr>
        <w:rFonts w:hint="default" w:ascii="仿宋" w:hAnsi="仿宋" w:eastAsia="仿宋" w:cs="Times New Roman"/>
        <w:spacing w:val="0"/>
        <w:sz w:val="21"/>
        <w:szCs w:val="21"/>
        <w:lang w:val="zh-CN" w:eastAsia="zh-CN" w:bidi="zh-CN"/>
      </w:rPr>
    </w:lvl>
    <w:lvl w:ilvl="2">
      <w:start w:val="1"/>
      <w:numFmt w:val="decimal"/>
      <w:isLgl w:val="false"/>
      <w:suff w:val="tab"/>
      <w:lvlText w:val="%1.%2.%3"/>
      <w:lvlJc w:val="left"/>
      <w:pPr>
        <w:ind w:left="120" w:hanging="960"/>
      </w:pPr>
      <w:rPr>
        <w:rFonts w:hint="default" w:ascii="仿宋" w:hAnsi="仿宋" w:eastAsia="仿宋" w:cs="Times New Roman"/>
        <w:b w:val="0"/>
        <w:bCs/>
        <w:spacing w:val="0"/>
        <w:sz w:val="21"/>
        <w:szCs w:val="21"/>
        <w:lang w:val="zh-CN" w:eastAsia="zh-CN" w:bidi="zh-CN"/>
      </w:rPr>
    </w:lvl>
    <w:lvl w:ilvl="3">
      <w:start w:val="1"/>
      <w:numFmt w:val="bullet"/>
      <w:isLgl w:val="false"/>
      <w:suff w:val="tab"/>
      <w:lvlText w:val="•"/>
      <w:lvlJc w:val="left"/>
      <w:pPr>
        <w:ind w:left="2996" w:hanging="960"/>
      </w:pPr>
      <w:rPr>
        <w:rFonts w:hint="default"/>
        <w:lang w:val="zh-CN" w:eastAsia="zh-CN" w:bidi="zh-CN"/>
      </w:rPr>
    </w:lvl>
    <w:lvl w:ilvl="4">
      <w:start w:val="1"/>
      <w:numFmt w:val="bullet"/>
      <w:isLgl w:val="false"/>
      <w:suff w:val="tab"/>
      <w:lvlText w:val="•"/>
      <w:lvlJc w:val="left"/>
      <w:pPr>
        <w:ind w:left="3835" w:hanging="960"/>
      </w:pPr>
      <w:rPr>
        <w:rFonts w:hint="default"/>
        <w:lang w:val="zh-CN" w:eastAsia="zh-CN" w:bidi="zh-CN"/>
      </w:rPr>
    </w:lvl>
    <w:lvl w:ilvl="5">
      <w:start w:val="1"/>
      <w:numFmt w:val="bullet"/>
      <w:isLgl w:val="false"/>
      <w:suff w:val="tab"/>
      <w:lvlText w:val="•"/>
      <w:lvlJc w:val="left"/>
      <w:pPr>
        <w:ind w:left="4673" w:hanging="960"/>
      </w:pPr>
      <w:rPr>
        <w:rFonts w:hint="default"/>
        <w:lang w:val="zh-CN" w:eastAsia="zh-CN" w:bidi="zh-CN"/>
      </w:rPr>
    </w:lvl>
    <w:lvl w:ilvl="6">
      <w:start w:val="1"/>
      <w:numFmt w:val="bullet"/>
      <w:isLgl w:val="false"/>
      <w:suff w:val="tab"/>
      <w:lvlText w:val="•"/>
      <w:lvlJc w:val="left"/>
      <w:pPr>
        <w:ind w:left="5512" w:hanging="960"/>
      </w:pPr>
      <w:rPr>
        <w:rFonts w:hint="default"/>
        <w:lang w:val="zh-CN" w:eastAsia="zh-CN" w:bidi="zh-CN"/>
      </w:rPr>
    </w:lvl>
    <w:lvl w:ilvl="7">
      <w:start w:val="1"/>
      <w:numFmt w:val="bullet"/>
      <w:isLgl w:val="false"/>
      <w:suff w:val="tab"/>
      <w:lvlText w:val="•"/>
      <w:lvlJc w:val="left"/>
      <w:pPr>
        <w:ind w:left="6350" w:hanging="960"/>
      </w:pPr>
      <w:rPr>
        <w:rFonts w:hint="default"/>
        <w:lang w:val="zh-CN" w:eastAsia="zh-CN" w:bidi="zh-CN"/>
      </w:rPr>
    </w:lvl>
    <w:lvl w:ilvl="8">
      <w:start w:val="1"/>
      <w:numFmt w:val="bullet"/>
      <w:isLgl w:val="false"/>
      <w:suff w:val="tab"/>
      <w:lvlText w:val="•"/>
      <w:lvlJc w:val="left"/>
      <w:pPr>
        <w:ind w:left="7189" w:hanging="960"/>
      </w:pPr>
      <w:rPr>
        <w:rFonts w:hint="default"/>
        <w:lang w:val="zh-CN" w:eastAsia="zh-CN" w:bidi="zh-CN"/>
      </w:rPr>
    </w:lvl>
  </w:abstractNum>
  <w:abstractNum w:abstractNumId="25">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japaneseCounting"/>
      <w:isLgl w:val="false"/>
      <w:suff w:val="tab"/>
      <w:lvlText w:val="%1、"/>
      <w:lvlJc w:val="left"/>
      <w:pPr>
        <w:ind w:left="915" w:hanging="435"/>
      </w:pPr>
      <w:rPr>
        <w:rFonts w:hint="default"/>
      </w:rPr>
    </w:lvl>
    <w:lvl w:ilvl="1">
      <w:start w:val="1"/>
      <w:numFmt w:val="lowerLetter"/>
      <w:isLgl w:val="false"/>
      <w:suff w:val="tab"/>
      <w:lvlText w:val="%2)"/>
      <w:lvlJc w:val="left"/>
      <w:pPr>
        <w:ind w:left="1360" w:hanging="440"/>
      </w:pPr>
    </w:lvl>
    <w:lvl w:ilvl="2">
      <w:start w:val="1"/>
      <w:numFmt w:val="lowerRoman"/>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abstractNum w:abstractNumId="27">
    <w:multiLevelType w:val="hybridMultilevel"/>
    <w:lvl w:ilvl="0">
      <w:start w:val="1"/>
      <w:numFmt w:val="decimal"/>
      <w:isLgl w:val="false"/>
      <w:suff w:val="tab"/>
      <w:lvlText w:val="(%1)"/>
      <w:lvlJc w:val="left"/>
      <w:pPr>
        <w:ind w:left="120" w:hanging="500"/>
      </w:pPr>
      <w:rPr>
        <w:rFonts w:hint="default" w:ascii="仿宋" w:hAnsi="仿宋" w:eastAsia="仿宋" w:cs="仿宋"/>
        <w:b w:val="0"/>
        <w:bCs/>
        <w:spacing w:val="5"/>
        <w:sz w:val="21"/>
        <w:szCs w:val="32"/>
        <w:lang w:val="zh-CN" w:eastAsia="zh-CN" w:bidi="zh-CN"/>
      </w:rPr>
    </w:lvl>
    <w:lvl w:ilvl="1">
      <w:start w:val="1"/>
      <w:numFmt w:val="bullet"/>
      <w:isLgl w:val="false"/>
      <w:suff w:val="tab"/>
      <w:lvlText w:val="•"/>
      <w:lvlJc w:val="left"/>
      <w:pPr>
        <w:ind w:left="994" w:hanging="500"/>
      </w:pPr>
      <w:rPr>
        <w:rFonts w:hint="default"/>
        <w:lang w:val="zh-CN" w:eastAsia="zh-CN" w:bidi="zh-CN"/>
      </w:rPr>
    </w:lvl>
    <w:lvl w:ilvl="2">
      <w:start w:val="1"/>
      <w:numFmt w:val="bullet"/>
      <w:isLgl w:val="false"/>
      <w:suff w:val="tab"/>
      <w:lvlText w:val="•"/>
      <w:lvlJc w:val="left"/>
      <w:pPr>
        <w:ind w:left="1869" w:hanging="500"/>
      </w:pPr>
      <w:rPr>
        <w:rFonts w:hint="default"/>
        <w:lang w:val="zh-CN" w:eastAsia="zh-CN" w:bidi="zh-CN"/>
      </w:rPr>
    </w:lvl>
    <w:lvl w:ilvl="3">
      <w:start w:val="1"/>
      <w:numFmt w:val="bullet"/>
      <w:isLgl w:val="false"/>
      <w:suff w:val="tab"/>
      <w:lvlText w:val="•"/>
      <w:lvlJc w:val="left"/>
      <w:pPr>
        <w:ind w:left="2743" w:hanging="500"/>
      </w:pPr>
      <w:rPr>
        <w:rFonts w:hint="default"/>
        <w:lang w:val="zh-CN" w:eastAsia="zh-CN" w:bidi="zh-CN"/>
      </w:rPr>
    </w:lvl>
    <w:lvl w:ilvl="4">
      <w:start w:val="1"/>
      <w:numFmt w:val="bullet"/>
      <w:isLgl w:val="false"/>
      <w:suff w:val="tab"/>
      <w:lvlText w:val="•"/>
      <w:lvlJc w:val="left"/>
      <w:pPr>
        <w:ind w:left="3618" w:hanging="500"/>
      </w:pPr>
      <w:rPr>
        <w:rFonts w:hint="default"/>
        <w:lang w:val="zh-CN" w:eastAsia="zh-CN" w:bidi="zh-CN"/>
      </w:rPr>
    </w:lvl>
    <w:lvl w:ilvl="5">
      <w:start w:val="1"/>
      <w:numFmt w:val="bullet"/>
      <w:isLgl w:val="false"/>
      <w:suff w:val="tab"/>
      <w:lvlText w:val="•"/>
      <w:lvlJc w:val="left"/>
      <w:pPr>
        <w:ind w:left="4493" w:hanging="500"/>
      </w:pPr>
      <w:rPr>
        <w:rFonts w:hint="default"/>
        <w:lang w:val="zh-CN" w:eastAsia="zh-CN" w:bidi="zh-CN"/>
      </w:rPr>
    </w:lvl>
    <w:lvl w:ilvl="6">
      <w:start w:val="1"/>
      <w:numFmt w:val="bullet"/>
      <w:isLgl w:val="false"/>
      <w:suff w:val="tab"/>
      <w:lvlText w:val="•"/>
      <w:lvlJc w:val="left"/>
      <w:pPr>
        <w:ind w:left="5367" w:hanging="500"/>
      </w:pPr>
      <w:rPr>
        <w:rFonts w:hint="default"/>
        <w:lang w:val="zh-CN" w:eastAsia="zh-CN" w:bidi="zh-CN"/>
      </w:rPr>
    </w:lvl>
    <w:lvl w:ilvl="7">
      <w:start w:val="1"/>
      <w:numFmt w:val="bullet"/>
      <w:isLgl w:val="false"/>
      <w:suff w:val="tab"/>
      <w:lvlText w:val="•"/>
      <w:lvlJc w:val="left"/>
      <w:pPr>
        <w:ind w:left="6242" w:hanging="500"/>
      </w:pPr>
      <w:rPr>
        <w:rFonts w:hint="default"/>
        <w:lang w:val="zh-CN" w:eastAsia="zh-CN" w:bidi="zh-CN"/>
      </w:rPr>
    </w:lvl>
    <w:lvl w:ilvl="8">
      <w:start w:val="1"/>
      <w:numFmt w:val="bullet"/>
      <w:isLgl w:val="false"/>
      <w:suff w:val="tab"/>
      <w:lvlText w:val="•"/>
      <w:lvlJc w:val="left"/>
      <w:pPr>
        <w:ind w:left="7117" w:hanging="500"/>
      </w:pPr>
      <w:rPr>
        <w:rFonts w:hint="default"/>
        <w:lang w:val="zh-CN" w:eastAsia="zh-CN" w:bidi="zh-CN"/>
      </w:rPr>
    </w:lvl>
  </w:abstractNum>
  <w:abstractNum w:abstractNumId="28">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2"/>
  </w:num>
  <w:num w:numId="3">
    <w:abstractNumId w:val="8"/>
  </w:num>
  <w:num w:numId="4">
    <w:abstractNumId w:val="7"/>
  </w:num>
  <w:num w:numId="5">
    <w:abstractNumId w:val="5"/>
  </w:num>
  <w:num w:numId="6">
    <w:abstractNumId w:val="3"/>
  </w:num>
  <w:num w:numId="7">
    <w:abstractNumId w:val="11"/>
  </w:num>
  <w:num w:numId="8">
    <w:abstractNumId w:val="1"/>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lvlOverride w:ilvl="0">
      <w:startOverride w:val="1"/>
    </w:lvlOverride>
  </w:num>
  <w:num w:numId="11">
    <w:abstractNumId w:val="25"/>
    <w:lvlOverride w:ilvl="0">
      <w:startOverride w:val="1"/>
    </w:lvlOverride>
  </w:num>
  <w:num w:numId="12">
    <w:abstractNumId w:val="10"/>
  </w:num>
  <w:num w:numId="13">
    <w:abstractNumId w:val="9"/>
  </w:num>
  <w:num w:numId="14">
    <w:abstractNumId w:val="18"/>
  </w:num>
  <w:num w:numId="15">
    <w:abstractNumId w:val="24"/>
  </w:num>
  <w:num w:numId="16">
    <w:abstractNumId w:val="21"/>
  </w:num>
  <w:num w:numId="17">
    <w:abstractNumId w:val="23"/>
  </w:num>
  <w:num w:numId="18">
    <w:abstractNumId w:val="12"/>
  </w:num>
  <w:num w:numId="19">
    <w:abstractNumId w:val="14"/>
  </w:num>
  <w:num w:numId="20">
    <w:abstractNumId w:val="19"/>
  </w:num>
  <w:num w:numId="21">
    <w:abstractNumId w:val="13"/>
  </w:num>
  <w:num w:numId="22">
    <w:abstractNumId w:val="27"/>
  </w:num>
  <w:num w:numId="23">
    <w:abstractNumId w:val="16"/>
  </w:num>
  <w:num w:numId="24">
    <w:abstractNumId w:val="20"/>
  </w:num>
  <w:num w:numId="25">
    <w:abstractNumId w:val="28"/>
  </w:num>
  <w:num w:numId="26">
    <w:abstractNumId w:val="15"/>
  </w:num>
  <w:num w:numId="27">
    <w:abstractNumId w:val="22"/>
  </w:num>
  <w:num w:numId="28">
    <w:abstractNumId w:val="17"/>
  </w:num>
  <w:num w:numId="29">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904"/>
    <w:link w:val="895"/>
    <w:uiPriority w:val="9"/>
    <w:rPr>
      <w:rFonts w:ascii="Arial" w:hAnsi="Arial" w:eastAsia="Arial" w:cs="Arial"/>
      <w:sz w:val="40"/>
      <w:szCs w:val="40"/>
    </w:rPr>
  </w:style>
  <w:style w:type="character" w:styleId="15">
    <w:name w:val="Heading 2 Char"/>
    <w:basedOn w:val="904"/>
    <w:link w:val="896"/>
    <w:uiPriority w:val="9"/>
    <w:rPr>
      <w:rFonts w:ascii="Arial" w:hAnsi="Arial" w:eastAsia="Arial" w:cs="Arial"/>
      <w:sz w:val="34"/>
    </w:rPr>
  </w:style>
  <w:style w:type="character" w:styleId="17">
    <w:name w:val="Heading 3 Char"/>
    <w:basedOn w:val="904"/>
    <w:link w:val="897"/>
    <w:uiPriority w:val="9"/>
    <w:rPr>
      <w:rFonts w:ascii="Arial" w:hAnsi="Arial" w:eastAsia="Arial" w:cs="Arial"/>
      <w:sz w:val="30"/>
      <w:szCs w:val="30"/>
    </w:rPr>
  </w:style>
  <w:style w:type="character" w:styleId="19">
    <w:name w:val="Heading 4 Char"/>
    <w:basedOn w:val="904"/>
    <w:link w:val="898"/>
    <w:uiPriority w:val="9"/>
    <w:rPr>
      <w:rFonts w:ascii="Arial" w:hAnsi="Arial" w:eastAsia="Arial" w:cs="Arial"/>
      <w:b/>
      <w:bCs/>
      <w:sz w:val="26"/>
      <w:szCs w:val="26"/>
    </w:rPr>
  </w:style>
  <w:style w:type="character" w:styleId="21">
    <w:name w:val="Heading 5 Char"/>
    <w:basedOn w:val="904"/>
    <w:link w:val="899"/>
    <w:uiPriority w:val="9"/>
    <w:rPr>
      <w:rFonts w:ascii="Arial" w:hAnsi="Arial" w:eastAsia="Arial" w:cs="Arial"/>
      <w:b/>
      <w:bCs/>
      <w:sz w:val="24"/>
      <w:szCs w:val="24"/>
    </w:rPr>
  </w:style>
  <w:style w:type="character" w:styleId="23">
    <w:name w:val="Heading 6 Char"/>
    <w:basedOn w:val="904"/>
    <w:link w:val="900"/>
    <w:uiPriority w:val="9"/>
    <w:rPr>
      <w:rFonts w:ascii="Arial" w:hAnsi="Arial" w:eastAsia="Arial" w:cs="Arial"/>
      <w:b/>
      <w:bCs/>
      <w:sz w:val="22"/>
      <w:szCs w:val="22"/>
    </w:rPr>
  </w:style>
  <w:style w:type="character" w:styleId="25">
    <w:name w:val="Heading 7 Char"/>
    <w:basedOn w:val="904"/>
    <w:link w:val="901"/>
    <w:uiPriority w:val="9"/>
    <w:rPr>
      <w:rFonts w:ascii="Arial" w:hAnsi="Arial" w:eastAsia="Arial" w:cs="Arial"/>
      <w:b/>
      <w:bCs/>
      <w:i/>
      <w:iCs/>
      <w:sz w:val="22"/>
      <w:szCs w:val="22"/>
    </w:rPr>
  </w:style>
  <w:style w:type="character" w:styleId="27">
    <w:name w:val="Heading 8 Char"/>
    <w:basedOn w:val="904"/>
    <w:link w:val="902"/>
    <w:uiPriority w:val="9"/>
    <w:rPr>
      <w:rFonts w:ascii="Arial" w:hAnsi="Arial" w:eastAsia="Arial" w:cs="Arial"/>
      <w:i/>
      <w:iCs/>
      <w:sz w:val="22"/>
      <w:szCs w:val="22"/>
    </w:rPr>
  </w:style>
  <w:style w:type="character" w:styleId="29">
    <w:name w:val="Heading 9 Char"/>
    <w:basedOn w:val="904"/>
    <w:link w:val="903"/>
    <w:uiPriority w:val="9"/>
    <w:rPr>
      <w:rFonts w:ascii="Arial" w:hAnsi="Arial" w:eastAsia="Arial" w:cs="Arial"/>
      <w:i/>
      <w:iCs/>
      <w:sz w:val="21"/>
      <w:szCs w:val="21"/>
    </w:rPr>
  </w:style>
  <w:style w:type="character" w:styleId="34">
    <w:name w:val="Title Char"/>
    <w:basedOn w:val="904"/>
    <w:link w:val="959"/>
    <w:uiPriority w:val="10"/>
    <w:rPr>
      <w:sz w:val="48"/>
      <w:szCs w:val="48"/>
    </w:rPr>
  </w:style>
  <w:style w:type="character" w:styleId="36">
    <w:name w:val="Subtitle Char"/>
    <w:basedOn w:val="904"/>
    <w:link w:val="1184"/>
    <w:uiPriority w:val="11"/>
    <w:rPr>
      <w:sz w:val="24"/>
      <w:szCs w:val="24"/>
    </w:rPr>
  </w:style>
  <w:style w:type="character" w:styleId="38">
    <w:name w:val="Quote Char"/>
    <w:link w:val="1186"/>
    <w:uiPriority w:val="29"/>
    <w:rPr>
      <w:i/>
    </w:rPr>
  </w:style>
  <w:style w:type="character" w:styleId="40">
    <w:name w:val="Intense Quote Char"/>
    <w:link w:val="1190"/>
    <w:uiPriority w:val="30"/>
    <w:rPr>
      <w:i/>
    </w:rPr>
  </w:style>
  <w:style w:type="character" w:styleId="42">
    <w:name w:val="Header Char"/>
    <w:basedOn w:val="904"/>
    <w:link w:val="946"/>
    <w:uiPriority w:val="99"/>
  </w:style>
  <w:style w:type="character" w:styleId="44">
    <w:name w:val="Footer Char"/>
    <w:basedOn w:val="904"/>
    <w:link w:val="944"/>
    <w:uiPriority w:val="99"/>
  </w:style>
  <w:style w:type="character" w:styleId="46">
    <w:name w:val="Caption Char"/>
    <w:basedOn w:val="920"/>
    <w:link w:val="944"/>
    <w:uiPriority w:val="99"/>
  </w:style>
  <w:style w:type="table" w:styleId="48">
    <w:name w:val="Table Grid Light"/>
    <w:basedOn w:val="90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50">
    <w:name w:val="Plain Table 2"/>
    <w:basedOn w:val="90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9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9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9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90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90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90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90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90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90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90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90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90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90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90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90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90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90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90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90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90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90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90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90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90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90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90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90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90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90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90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90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9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9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4">
    <w:name w:val="Grid Table 5 Dark - Accent 2"/>
    <w:basedOn w:val="9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9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9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9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8">
    <w:name w:val="Grid Table 5 Dark - Accent 6"/>
    <w:basedOn w:val="9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90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90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90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90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90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90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90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6">
    <w:name w:val="Grid Table 7 Colorful"/>
    <w:basedOn w:val="90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90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664a9"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90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90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90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90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d8d"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90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90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905"/>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905"/>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905"/>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905"/>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905"/>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905"/>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90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90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90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90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90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90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90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90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90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19">
    <w:name w:val="List Table 3 - Accent 2"/>
    <w:basedOn w:val="90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90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90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90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23">
    <w:name w:val="List Table 3 - Accent 6"/>
    <w:basedOn w:val="90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90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90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26">
    <w:name w:val="List Table 4 - Accent 2"/>
    <w:basedOn w:val="90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90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90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90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30">
    <w:name w:val="List Table 4 - Accent 6"/>
    <w:basedOn w:val="90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90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90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90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90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90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90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90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90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90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40">
    <w:name w:val="List Table 6 Colorful - Accent 2"/>
    <w:basedOn w:val="90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90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90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90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44">
    <w:name w:val="List Table 6 Colorful - Accent 6"/>
    <w:basedOn w:val="90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90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90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374"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54374" w:themeColor="accent1" w:themeShade="95"/>
        <w:sz w:val="22"/>
      </w:rPr>
    </w:tblStylePr>
  </w:style>
  <w:style w:type="table" w:styleId="147">
    <w:name w:val="List Table 7 Colorful - Accent 2"/>
    <w:basedOn w:val="90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90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90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90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e78b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e78b1" w:themeColor="accent5" w:themeTint="9A" w:themeShade="95"/>
        <w:sz w:val="22"/>
      </w:rPr>
    </w:tblStylePr>
  </w:style>
  <w:style w:type="table" w:styleId="151">
    <w:name w:val="List Table 7 Colorful - Accent 6"/>
    <w:basedOn w:val="90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9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9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54">
    <w:name w:val="Lined - Accent 2"/>
    <w:basedOn w:val="9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9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9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9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58">
    <w:name w:val="Lined - Accent 6"/>
    <w:basedOn w:val="9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90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90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61">
    <w:name w:val="Bordered &amp; Lined - Accent 2"/>
    <w:basedOn w:val="90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90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90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90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65">
    <w:name w:val="Bordered &amp; Lined - Accent 6"/>
    <w:basedOn w:val="90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90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90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90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90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90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90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90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89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904"/>
    <w:uiPriority w:val="99"/>
    <w:unhideWhenUsed/>
    <w:rPr>
      <w:vertAlign w:val="superscript"/>
    </w:rPr>
  </w:style>
  <w:style w:type="paragraph" w:styleId="177">
    <w:name w:val="endnote text"/>
    <w:basedOn w:val="89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904"/>
    <w:uiPriority w:val="99"/>
    <w:semiHidden/>
    <w:unhideWhenUsed/>
    <w:rPr>
      <w:vertAlign w:val="superscript"/>
    </w:rPr>
  </w:style>
  <w:style w:type="paragraph" w:styleId="183">
    <w:name w:val="toc 4"/>
    <w:basedOn w:val="894"/>
    <w:next w:val="894"/>
    <w:uiPriority w:val="39"/>
    <w:unhideWhenUsed/>
    <w:pPr>
      <w:ind w:left="850" w:right="0" w:firstLine="0"/>
      <w:spacing w:after="57"/>
    </w:pPr>
  </w:style>
  <w:style w:type="paragraph" w:styleId="184">
    <w:name w:val="toc 5"/>
    <w:basedOn w:val="894"/>
    <w:next w:val="894"/>
    <w:uiPriority w:val="39"/>
    <w:unhideWhenUsed/>
    <w:pPr>
      <w:ind w:left="1134" w:right="0" w:firstLine="0"/>
      <w:spacing w:after="57"/>
    </w:pPr>
  </w:style>
  <w:style w:type="paragraph" w:styleId="185">
    <w:name w:val="toc 6"/>
    <w:basedOn w:val="894"/>
    <w:next w:val="894"/>
    <w:uiPriority w:val="39"/>
    <w:unhideWhenUsed/>
    <w:pPr>
      <w:ind w:left="1417" w:right="0" w:firstLine="0"/>
      <w:spacing w:after="57"/>
    </w:pPr>
  </w:style>
  <w:style w:type="paragraph" w:styleId="186">
    <w:name w:val="toc 7"/>
    <w:basedOn w:val="894"/>
    <w:next w:val="894"/>
    <w:uiPriority w:val="39"/>
    <w:unhideWhenUsed/>
    <w:pPr>
      <w:ind w:left="1701" w:right="0" w:firstLine="0"/>
      <w:spacing w:after="57"/>
    </w:pPr>
  </w:style>
  <w:style w:type="paragraph" w:styleId="187">
    <w:name w:val="toc 8"/>
    <w:basedOn w:val="894"/>
    <w:next w:val="894"/>
    <w:uiPriority w:val="39"/>
    <w:unhideWhenUsed/>
    <w:pPr>
      <w:ind w:left="1984" w:right="0" w:firstLine="0"/>
      <w:spacing w:after="57"/>
    </w:pPr>
  </w:style>
  <w:style w:type="paragraph" w:styleId="188">
    <w:name w:val="toc 9"/>
    <w:basedOn w:val="894"/>
    <w:next w:val="894"/>
    <w:uiPriority w:val="39"/>
    <w:unhideWhenUsed/>
    <w:pPr>
      <w:ind w:left="2268" w:right="0" w:firstLine="0"/>
      <w:spacing w:after="57"/>
    </w:pPr>
  </w:style>
  <w:style w:type="paragraph" w:styleId="190">
    <w:name w:val="table of figures"/>
    <w:basedOn w:val="894"/>
    <w:next w:val="894"/>
    <w:uiPriority w:val="99"/>
    <w:unhideWhenUsed/>
    <w:pPr>
      <w:spacing w:after="0" w:afterAutospacing="0"/>
    </w:pPr>
  </w:style>
  <w:style w:type="paragraph" w:styleId="894" w:default="1">
    <w:name w:val="Normal"/>
    <w:qFormat/>
    <w:rPr>
      <w:rFonts w:ascii="宋体" w:hAnsi="宋体" w:cs="宋体"/>
      <w:sz w:val="24"/>
      <w:szCs w:val="24"/>
    </w:rPr>
  </w:style>
  <w:style w:type="paragraph" w:styleId="895">
    <w:name w:val="Heading 1"/>
    <w:basedOn w:val="894"/>
    <w:next w:val="894"/>
    <w:link w:val="908"/>
    <w:uiPriority w:val="9"/>
    <w:qFormat/>
    <w:pPr>
      <w:jc w:val="center"/>
      <w:keepLines/>
      <w:keepNext/>
      <w:spacing w:before="240" w:after="120" w:line="300" w:lineRule="auto"/>
      <w:widowControl w:val="off"/>
      <w:outlineLvl w:val="0"/>
    </w:pPr>
    <w:rPr>
      <w:rFonts w:hAnsi="Times New Roman" w:cs="Times New Roman"/>
      <w:b/>
      <w:sz w:val="32"/>
      <w:szCs w:val="20"/>
    </w:rPr>
  </w:style>
  <w:style w:type="paragraph" w:styleId="896">
    <w:name w:val="Heading 2"/>
    <w:basedOn w:val="894"/>
    <w:next w:val="910"/>
    <w:link w:val="909"/>
    <w:uiPriority w:val="9"/>
    <w:qFormat/>
    <w:pPr>
      <w:jc w:val="center"/>
      <w:keepLines/>
      <w:keepNext/>
      <w:spacing w:before="120" w:line="300" w:lineRule="auto"/>
      <w:widowControl w:val="off"/>
      <w:outlineLvl w:val="1"/>
    </w:pPr>
    <w:rPr>
      <w:rFonts w:ascii="Arial" w:hAnsi="Arial" w:eastAsia="黑体" w:cs="Times New Roman"/>
      <w:b/>
      <w:sz w:val="30"/>
      <w:szCs w:val="20"/>
    </w:rPr>
  </w:style>
  <w:style w:type="paragraph" w:styleId="897">
    <w:name w:val="Heading 3"/>
    <w:basedOn w:val="894"/>
    <w:next w:val="894"/>
    <w:link w:val="912"/>
    <w:uiPriority w:val="9"/>
    <w:qFormat/>
    <w:pPr>
      <w:keepLines/>
      <w:keepNext/>
      <w:spacing w:before="360" w:after="120"/>
      <w:widowControl w:val="off"/>
      <w:outlineLvl w:val="2"/>
    </w:pPr>
    <w:rPr>
      <w:rFonts w:hAnsi="Times New Roman" w:cs="Times New Roman"/>
      <w:b/>
      <w:szCs w:val="20"/>
      <w:u w:val="single"/>
    </w:rPr>
  </w:style>
  <w:style w:type="paragraph" w:styleId="898">
    <w:name w:val="Heading 4"/>
    <w:basedOn w:val="894"/>
    <w:next w:val="894"/>
    <w:link w:val="913"/>
    <w:uiPriority w:val="9"/>
    <w:qFormat/>
    <w:pPr>
      <w:jc w:val="both"/>
      <w:keepLines/>
      <w:keepNext/>
      <w:spacing w:before="280" w:after="290" w:line="376" w:lineRule="atLeast"/>
      <w:widowControl w:val="off"/>
      <w:outlineLvl w:val="3"/>
    </w:pPr>
    <w:rPr>
      <w:rFonts w:ascii="Arial" w:hAnsi="Arial" w:eastAsia="黑体" w:cs="Times New Roman"/>
      <w:b/>
      <w:sz w:val="28"/>
      <w:szCs w:val="20"/>
    </w:rPr>
  </w:style>
  <w:style w:type="paragraph" w:styleId="899">
    <w:name w:val="Heading 5"/>
    <w:basedOn w:val="894"/>
    <w:next w:val="894"/>
    <w:link w:val="914"/>
    <w:uiPriority w:val="9"/>
    <w:qFormat/>
    <w:pPr>
      <w:jc w:val="both"/>
      <w:keepLines/>
      <w:keepNext/>
      <w:spacing w:before="280" w:after="290" w:line="376" w:lineRule="atLeast"/>
      <w:widowControl w:val="off"/>
      <w:outlineLvl w:val="4"/>
    </w:pPr>
    <w:rPr>
      <w:rFonts w:ascii="Times New Roman" w:hAnsi="Times New Roman" w:cs="Times New Roman"/>
      <w:b/>
      <w:sz w:val="28"/>
      <w:szCs w:val="20"/>
    </w:rPr>
  </w:style>
  <w:style w:type="paragraph" w:styleId="900">
    <w:name w:val="Heading 6"/>
    <w:basedOn w:val="894"/>
    <w:next w:val="894"/>
    <w:link w:val="915"/>
    <w:uiPriority w:val="9"/>
    <w:qFormat/>
    <w:pPr>
      <w:jc w:val="both"/>
      <w:keepLines/>
      <w:keepNext/>
      <w:spacing w:before="240" w:after="64" w:line="320" w:lineRule="atLeast"/>
      <w:widowControl w:val="off"/>
      <w:outlineLvl w:val="5"/>
    </w:pPr>
    <w:rPr>
      <w:rFonts w:ascii="Arial" w:hAnsi="Arial" w:eastAsia="黑体" w:cs="Times New Roman"/>
      <w:b/>
      <w:szCs w:val="20"/>
    </w:rPr>
  </w:style>
  <w:style w:type="paragraph" w:styleId="901">
    <w:name w:val="Heading 7"/>
    <w:basedOn w:val="894"/>
    <w:next w:val="894"/>
    <w:link w:val="916"/>
    <w:uiPriority w:val="9"/>
    <w:qFormat/>
    <w:pPr>
      <w:jc w:val="both"/>
      <w:keepLines/>
      <w:keepNext/>
      <w:spacing w:before="240" w:after="64" w:line="320" w:lineRule="atLeast"/>
      <w:widowControl w:val="off"/>
      <w:outlineLvl w:val="6"/>
    </w:pPr>
    <w:rPr>
      <w:rFonts w:ascii="Times New Roman" w:hAnsi="Times New Roman" w:cs="Times New Roman"/>
      <w:b/>
      <w:szCs w:val="20"/>
    </w:rPr>
  </w:style>
  <w:style w:type="paragraph" w:styleId="902">
    <w:name w:val="Heading 8"/>
    <w:basedOn w:val="894"/>
    <w:next w:val="894"/>
    <w:link w:val="917"/>
    <w:uiPriority w:val="9"/>
    <w:qFormat/>
    <w:pPr>
      <w:jc w:val="both"/>
      <w:keepLines/>
      <w:keepNext/>
      <w:spacing w:before="240" w:after="64" w:line="320" w:lineRule="atLeast"/>
      <w:widowControl w:val="off"/>
      <w:outlineLvl w:val="7"/>
    </w:pPr>
    <w:rPr>
      <w:rFonts w:ascii="Arial" w:hAnsi="Arial" w:eastAsia="黑体" w:cs="Times New Roman"/>
      <w:szCs w:val="20"/>
    </w:rPr>
  </w:style>
  <w:style w:type="paragraph" w:styleId="903">
    <w:name w:val="Heading 9"/>
    <w:basedOn w:val="894"/>
    <w:next w:val="894"/>
    <w:link w:val="918"/>
    <w:uiPriority w:val="9"/>
    <w:qFormat/>
    <w:pPr>
      <w:jc w:val="both"/>
      <w:keepLines/>
      <w:keepNext/>
      <w:spacing w:before="240" w:after="64" w:line="320" w:lineRule="atLeast"/>
      <w:widowControl w:val="off"/>
      <w:outlineLvl w:val="8"/>
    </w:pPr>
    <w:rPr>
      <w:rFonts w:ascii="Arial" w:hAnsi="Arial" w:eastAsia="黑体" w:cs="Times New Roman"/>
      <w:sz w:val="21"/>
      <w:szCs w:val="20"/>
    </w:rPr>
  </w:style>
  <w:style w:type="character" w:styleId="904" w:default="1">
    <w:name w:val="Default Paragraph Font"/>
    <w:uiPriority w:val="1"/>
    <w:semiHidden/>
    <w:unhideWhenUsed/>
  </w:style>
  <w:style w:type="table" w:styleId="905" w:default="1">
    <w:name w:val="Normal Table"/>
    <w:uiPriority w:val="99"/>
    <w:semiHidden/>
    <w:unhideWhenUsed/>
    <w:tblPr>
      <w:tblInd w:w="0" w:type="dxa"/>
      <w:tblCellMar>
        <w:left w:w="108" w:type="dxa"/>
        <w:top w:w="0" w:type="dxa"/>
        <w:right w:w="108" w:type="dxa"/>
        <w:bottom w:w="0" w:type="dxa"/>
      </w:tblCellMar>
    </w:tblPr>
  </w:style>
  <w:style w:type="numbering" w:styleId="906" w:default="1">
    <w:name w:val="No List"/>
    <w:uiPriority w:val="99"/>
    <w:semiHidden/>
    <w:unhideWhenUsed/>
  </w:style>
  <w:style w:type="paragraph" w:styleId="907" w:customStyle="1">
    <w:name w:val="Default"/>
    <w:link w:val="1150"/>
    <w:qFormat/>
    <w:pPr>
      <w:widowControl w:val="off"/>
    </w:pPr>
    <w:rPr>
      <w:rFonts w:ascii="Symbol" w:hAnsi="Symbol" w:cs="Symbol"/>
      <w:color w:val="000000"/>
      <w:sz w:val="24"/>
      <w:szCs w:val="24"/>
    </w:rPr>
  </w:style>
  <w:style w:type="character" w:styleId="908" w:customStyle="1">
    <w:name w:val="标题 1 字符"/>
    <w:link w:val="895"/>
    <w:uiPriority w:val="9"/>
    <w:qFormat/>
    <w:rPr>
      <w:rFonts w:ascii="宋体"/>
      <w:b/>
      <w:sz w:val="32"/>
    </w:rPr>
  </w:style>
  <w:style w:type="character" w:styleId="909" w:customStyle="1">
    <w:name w:val="标题 2 字符"/>
    <w:link w:val="896"/>
    <w:uiPriority w:val="9"/>
    <w:qFormat/>
    <w:rPr>
      <w:rFonts w:ascii="Arial" w:hAnsi="Arial" w:eastAsia="黑体"/>
      <w:b/>
      <w:sz w:val="30"/>
      <w:lang w:val="en-US" w:eastAsia="zh-CN" w:bidi="ar-SA"/>
    </w:rPr>
  </w:style>
  <w:style w:type="paragraph" w:styleId="910">
    <w:name w:val="Normal Indent"/>
    <w:basedOn w:val="894"/>
    <w:link w:val="911"/>
    <w:qFormat/>
    <w:pPr>
      <w:ind w:firstLine="420"/>
      <w:widowControl w:val="off"/>
    </w:pPr>
    <w:rPr>
      <w:rFonts w:hAnsi="Times New Roman" w:cs="Times New Roman"/>
    </w:rPr>
  </w:style>
  <w:style w:type="character" w:styleId="911" w:customStyle="1">
    <w:name w:val="正文缩进 字符"/>
    <w:link w:val="910"/>
    <w:qFormat/>
    <w:rPr>
      <w:rFonts w:ascii="宋体" w:eastAsia="宋体"/>
      <w:sz w:val="24"/>
      <w:szCs w:val="24"/>
      <w:lang w:val="en-US" w:eastAsia="zh-CN" w:bidi="ar-SA"/>
    </w:rPr>
  </w:style>
  <w:style w:type="character" w:styleId="912" w:customStyle="1">
    <w:name w:val="标题 3 字符"/>
    <w:link w:val="897"/>
    <w:uiPriority w:val="9"/>
    <w:qFormat/>
    <w:rPr>
      <w:rFonts w:ascii="宋体" w:eastAsia="宋体"/>
      <w:b/>
      <w:sz w:val="24"/>
      <w:u w:val="single"/>
      <w:lang w:val="en-US" w:eastAsia="zh-CN" w:bidi="ar-SA"/>
    </w:rPr>
  </w:style>
  <w:style w:type="character" w:styleId="913" w:customStyle="1">
    <w:name w:val="标题 4 字符"/>
    <w:link w:val="898"/>
    <w:uiPriority w:val="9"/>
    <w:qFormat/>
    <w:rPr>
      <w:rFonts w:ascii="Arial" w:hAnsi="Arial" w:eastAsia="黑体"/>
      <w:b/>
      <w:sz w:val="28"/>
    </w:rPr>
  </w:style>
  <w:style w:type="character" w:styleId="914" w:customStyle="1">
    <w:name w:val="标题 5 字符"/>
    <w:link w:val="899"/>
    <w:uiPriority w:val="9"/>
    <w:qFormat/>
    <w:rPr>
      <w:b/>
      <w:sz w:val="28"/>
    </w:rPr>
  </w:style>
  <w:style w:type="character" w:styleId="915" w:customStyle="1">
    <w:name w:val="标题 6 字符"/>
    <w:link w:val="900"/>
    <w:uiPriority w:val="9"/>
    <w:qFormat/>
    <w:rPr>
      <w:rFonts w:ascii="Arial" w:hAnsi="Arial" w:eastAsia="黑体"/>
      <w:b/>
      <w:sz w:val="24"/>
    </w:rPr>
  </w:style>
  <w:style w:type="character" w:styleId="916" w:customStyle="1">
    <w:name w:val="标题 7 字符"/>
    <w:link w:val="901"/>
    <w:uiPriority w:val="9"/>
    <w:qFormat/>
    <w:rPr>
      <w:b/>
      <w:sz w:val="24"/>
    </w:rPr>
  </w:style>
  <w:style w:type="character" w:styleId="917" w:customStyle="1">
    <w:name w:val="标题 8 字符"/>
    <w:link w:val="902"/>
    <w:uiPriority w:val="9"/>
    <w:qFormat/>
    <w:rPr>
      <w:rFonts w:ascii="Arial" w:hAnsi="Arial" w:eastAsia="黑体"/>
      <w:sz w:val="24"/>
    </w:rPr>
  </w:style>
  <w:style w:type="character" w:styleId="918" w:customStyle="1">
    <w:name w:val="标题 9 字符"/>
    <w:link w:val="903"/>
    <w:uiPriority w:val="9"/>
    <w:qFormat/>
    <w:rPr>
      <w:rFonts w:ascii="Arial" w:hAnsi="Arial" w:eastAsia="黑体"/>
      <w:sz w:val="21"/>
    </w:rPr>
  </w:style>
  <w:style w:type="paragraph" w:styleId="919" w:customStyle="1">
    <w:name w:val="目录 7"/>
    <w:basedOn w:val="894"/>
    <w:next w:val="894"/>
    <w:qFormat/>
    <w:pPr>
      <w:ind w:left="2520"/>
      <w:jc w:val="both"/>
      <w:widowControl w:val="off"/>
    </w:pPr>
    <w:rPr>
      <w:rFonts w:ascii="Times New Roman" w:hAnsi="Times New Roman" w:cs="Times New Roman"/>
      <w:sz w:val="21"/>
    </w:rPr>
  </w:style>
  <w:style w:type="paragraph" w:styleId="920">
    <w:name w:val="Caption"/>
    <w:basedOn w:val="894"/>
    <w:next w:val="894"/>
    <w:qFormat/>
    <w:pPr>
      <w:jc w:val="both"/>
      <w:spacing w:line="480" w:lineRule="auto"/>
      <w:widowControl w:val="off"/>
    </w:pPr>
    <w:rPr>
      <w:rFonts w:ascii="华文中宋" w:hAnsi="华文中宋" w:eastAsia="华文中宋" w:cs="Times New Roman"/>
      <w:sz w:val="36"/>
      <w:szCs w:val="20"/>
    </w:rPr>
  </w:style>
  <w:style w:type="paragraph" w:styleId="921">
    <w:name w:val="Document Map"/>
    <w:basedOn w:val="894"/>
    <w:link w:val="922"/>
    <w:qFormat/>
    <w:pPr>
      <w:jc w:val="both"/>
      <w:shd w:val="clear" w:color="auto" w:fill="000080"/>
      <w:widowControl w:val="off"/>
    </w:pPr>
    <w:rPr>
      <w:rFonts w:ascii="Times New Roman" w:hAnsi="Times New Roman" w:cs="Times New Roman"/>
      <w:sz w:val="21"/>
    </w:rPr>
  </w:style>
  <w:style w:type="character" w:styleId="922" w:customStyle="1">
    <w:name w:val="文档结构图 字符"/>
    <w:link w:val="921"/>
    <w:qFormat/>
    <w:rPr>
      <w:sz w:val="21"/>
      <w:szCs w:val="24"/>
      <w:shd w:val="clear" w:color="auto" w:fill="000080"/>
    </w:rPr>
  </w:style>
  <w:style w:type="paragraph" w:styleId="923">
    <w:name w:val="annotation text"/>
    <w:basedOn w:val="894"/>
    <w:link w:val="924"/>
    <w:uiPriority w:val="99"/>
    <w:qFormat/>
    <w:pPr>
      <w:widowControl w:val="off"/>
    </w:pPr>
    <w:rPr>
      <w:rFonts w:ascii="Times New Roman" w:hAnsi="Times New Roman" w:cs="Times New Roman"/>
      <w:sz w:val="21"/>
    </w:rPr>
  </w:style>
  <w:style w:type="character" w:styleId="924" w:customStyle="1">
    <w:name w:val="批注文字 字符1"/>
    <w:link w:val="923"/>
    <w:uiPriority w:val="99"/>
    <w:qFormat/>
    <w:rPr>
      <w:sz w:val="21"/>
      <w:szCs w:val="24"/>
    </w:rPr>
  </w:style>
  <w:style w:type="paragraph" w:styleId="925">
    <w:name w:val="Body Text 3"/>
    <w:basedOn w:val="894"/>
    <w:link w:val="926"/>
    <w:qFormat/>
    <w:pPr>
      <w:jc w:val="both"/>
      <w:spacing w:after="120"/>
      <w:widowControl w:val="off"/>
    </w:pPr>
    <w:rPr>
      <w:rFonts w:ascii="Times New Roman" w:hAnsi="Times New Roman" w:cs="Times New Roman"/>
      <w:sz w:val="16"/>
      <w:szCs w:val="16"/>
    </w:rPr>
  </w:style>
  <w:style w:type="character" w:styleId="926" w:customStyle="1">
    <w:name w:val="正文文本 3 字符"/>
    <w:link w:val="925"/>
    <w:qFormat/>
    <w:rPr>
      <w:sz w:val="16"/>
      <w:szCs w:val="16"/>
    </w:rPr>
  </w:style>
  <w:style w:type="paragraph" w:styleId="927">
    <w:name w:val="Body Text"/>
    <w:basedOn w:val="894"/>
    <w:link w:val="928"/>
    <w:qFormat/>
    <w:pPr>
      <w:jc w:val="both"/>
      <w:spacing w:before="120" w:line="22" w:lineRule="atLeast"/>
      <w:widowControl w:val="off"/>
      <w:tabs>
        <w:tab w:val="left" w:pos="567" w:leader="none"/>
      </w:tabs>
    </w:pPr>
    <w:rPr>
      <w:rFonts w:cs="Times New Roman"/>
    </w:rPr>
  </w:style>
  <w:style w:type="character" w:styleId="928" w:customStyle="1">
    <w:name w:val="正文文本 字符"/>
    <w:link w:val="927"/>
    <w:qFormat/>
    <w:rPr>
      <w:rFonts w:ascii="宋体" w:hAnsi="宋体"/>
      <w:sz w:val="24"/>
      <w:szCs w:val="24"/>
    </w:rPr>
  </w:style>
  <w:style w:type="paragraph" w:styleId="929">
    <w:name w:val="Body Text Indent"/>
    <w:basedOn w:val="894"/>
    <w:link w:val="930"/>
    <w:qFormat/>
    <w:pPr>
      <w:ind w:firstLine="570"/>
      <w:jc w:val="both"/>
      <w:spacing w:line="360" w:lineRule="auto"/>
      <w:widowControl w:val="off"/>
    </w:pPr>
    <w:rPr>
      <w:rFonts w:ascii="Times New Roman" w:hAnsi="Times New Roman" w:cs="Times New Roman"/>
    </w:rPr>
  </w:style>
  <w:style w:type="character" w:styleId="930" w:customStyle="1">
    <w:name w:val="正文文本缩进 字符"/>
    <w:link w:val="929"/>
    <w:qFormat/>
    <w:rPr>
      <w:rFonts w:eastAsia="宋体"/>
      <w:sz w:val="24"/>
      <w:szCs w:val="24"/>
      <w:lang w:val="en-US" w:eastAsia="zh-CN" w:bidi="ar-SA"/>
    </w:rPr>
  </w:style>
  <w:style w:type="paragraph" w:styleId="931">
    <w:name w:val="List 2"/>
    <w:basedOn w:val="894"/>
    <w:qFormat/>
    <w:pPr>
      <w:ind w:left="100" w:hanging="200"/>
      <w:jc w:val="both"/>
      <w:widowControl w:val="off"/>
    </w:pPr>
    <w:rPr>
      <w:rFonts w:ascii="Times New Roman" w:hAnsi="Times New Roman" w:cs="Times New Roman"/>
      <w:sz w:val="21"/>
    </w:rPr>
  </w:style>
  <w:style w:type="paragraph" w:styleId="932">
    <w:name w:val="Block Text"/>
    <w:basedOn w:val="894"/>
    <w:qFormat/>
    <w:pPr>
      <w:ind w:left="480" w:right="-341" w:firstLine="513"/>
      <w:jc w:val="both"/>
    </w:pPr>
    <w:rPr>
      <w:rFonts w:ascii="Times New Roman" w:hAnsi="Times New Roman" w:cs="Times New Roman"/>
      <w:szCs w:val="20"/>
    </w:rPr>
  </w:style>
  <w:style w:type="paragraph" w:styleId="933" w:customStyle="1">
    <w:name w:val="目录 5"/>
    <w:basedOn w:val="894"/>
    <w:next w:val="894"/>
    <w:qFormat/>
    <w:pPr>
      <w:ind w:left="1680"/>
      <w:jc w:val="both"/>
      <w:widowControl w:val="off"/>
    </w:pPr>
    <w:rPr>
      <w:rFonts w:ascii="Times New Roman" w:hAnsi="Times New Roman" w:cs="Times New Roman"/>
      <w:sz w:val="21"/>
    </w:rPr>
  </w:style>
  <w:style w:type="paragraph" w:styleId="934" w:customStyle="1">
    <w:name w:val="目录 3"/>
    <w:basedOn w:val="894"/>
    <w:next w:val="894"/>
    <w:uiPriority w:val="39"/>
    <w:qFormat/>
    <w:pPr>
      <w:ind w:left="840"/>
      <w:jc w:val="both"/>
      <w:widowControl w:val="off"/>
    </w:pPr>
    <w:rPr>
      <w:rFonts w:ascii="Times New Roman" w:hAnsi="Times New Roman" w:cs="Times New Roman"/>
      <w:sz w:val="21"/>
    </w:rPr>
  </w:style>
  <w:style w:type="paragraph" w:styleId="935">
    <w:name w:val="Plain Text"/>
    <w:basedOn w:val="894"/>
    <w:link w:val="936"/>
    <w:qFormat/>
    <w:pPr>
      <w:jc w:val="both"/>
      <w:widowControl w:val="off"/>
    </w:pPr>
    <w:rPr>
      <w:rFonts w:hint="eastAsia" w:hAnsi="Courier New" w:cs="Times New Roman"/>
      <w:sz w:val="21"/>
      <w:szCs w:val="20"/>
    </w:rPr>
  </w:style>
  <w:style w:type="character" w:styleId="936" w:customStyle="1">
    <w:name w:val="纯文本 字符2"/>
    <w:link w:val="935"/>
    <w:qFormat/>
    <w:rPr>
      <w:rFonts w:hint="eastAsia" w:ascii="宋体" w:hAnsi="Courier New" w:eastAsia="宋体" w:cs="宋体"/>
      <w:sz w:val="21"/>
    </w:rPr>
  </w:style>
  <w:style w:type="paragraph" w:styleId="937" w:customStyle="1">
    <w:name w:val="目录 8"/>
    <w:basedOn w:val="894"/>
    <w:next w:val="894"/>
    <w:qFormat/>
    <w:pPr>
      <w:ind w:left="2940"/>
      <w:jc w:val="both"/>
      <w:widowControl w:val="off"/>
    </w:pPr>
    <w:rPr>
      <w:rFonts w:ascii="Times New Roman" w:hAnsi="Times New Roman" w:cs="Times New Roman"/>
      <w:sz w:val="21"/>
    </w:rPr>
  </w:style>
  <w:style w:type="paragraph" w:styleId="938">
    <w:name w:val="Date"/>
    <w:basedOn w:val="894"/>
    <w:next w:val="894"/>
    <w:link w:val="939"/>
    <w:qFormat/>
    <w:pPr>
      <w:ind w:left="100"/>
      <w:jc w:val="both"/>
      <w:widowControl w:val="off"/>
    </w:pPr>
    <w:rPr>
      <w:rFonts w:ascii="仿宋_GB2312" w:eastAsia="仿宋_GB2312" w:cs="Times New Roman"/>
      <w:color w:val="000000"/>
    </w:rPr>
  </w:style>
  <w:style w:type="character" w:styleId="939" w:customStyle="1">
    <w:name w:val="日期 字符"/>
    <w:link w:val="938"/>
    <w:qFormat/>
    <w:rPr>
      <w:rFonts w:ascii="仿宋_GB2312" w:hAnsi="宋体" w:eastAsia="仿宋_GB2312"/>
      <w:color w:val="000000"/>
      <w:sz w:val="24"/>
      <w:szCs w:val="24"/>
    </w:rPr>
  </w:style>
  <w:style w:type="paragraph" w:styleId="940">
    <w:name w:val="Body Text Indent 2"/>
    <w:basedOn w:val="894"/>
    <w:link w:val="941"/>
    <w:qFormat/>
    <w:pPr>
      <w:ind w:firstLine="480"/>
      <w:jc w:val="both"/>
      <w:widowControl w:val="off"/>
    </w:pPr>
    <w:rPr>
      <w:rFonts w:ascii="仿宋_GB2312" w:hAnsi="Times New Roman" w:eastAsia="仿宋_GB2312" w:cs="Times New Roman"/>
    </w:rPr>
  </w:style>
  <w:style w:type="character" w:styleId="941" w:customStyle="1">
    <w:name w:val="正文文本缩进 2 字符"/>
    <w:link w:val="940"/>
    <w:qFormat/>
    <w:rPr>
      <w:rFonts w:ascii="仿宋_GB2312" w:eastAsia="仿宋_GB2312"/>
      <w:sz w:val="24"/>
      <w:szCs w:val="24"/>
    </w:rPr>
  </w:style>
  <w:style w:type="paragraph" w:styleId="942">
    <w:name w:val="Balloon Text"/>
    <w:basedOn w:val="894"/>
    <w:link w:val="943"/>
    <w:qFormat/>
    <w:pPr>
      <w:jc w:val="both"/>
      <w:widowControl w:val="off"/>
    </w:pPr>
    <w:rPr>
      <w:rFonts w:ascii="Times New Roman" w:hAnsi="Times New Roman" w:cs="Times New Roman"/>
      <w:sz w:val="18"/>
      <w:szCs w:val="18"/>
    </w:rPr>
  </w:style>
  <w:style w:type="character" w:styleId="943" w:customStyle="1">
    <w:name w:val="批注框文本 字符"/>
    <w:link w:val="942"/>
    <w:qFormat/>
    <w:rPr>
      <w:sz w:val="18"/>
      <w:szCs w:val="18"/>
    </w:rPr>
  </w:style>
  <w:style w:type="paragraph" w:styleId="944">
    <w:name w:val="Footer"/>
    <w:basedOn w:val="894"/>
    <w:link w:val="945"/>
    <w:uiPriority w:val="99"/>
    <w:qFormat/>
    <w:pPr>
      <w:widowControl w:val="off"/>
      <w:tabs>
        <w:tab w:val="center" w:pos="4153" w:leader="none"/>
        <w:tab w:val="right" w:pos="8306" w:leader="none"/>
      </w:tabs>
    </w:pPr>
    <w:rPr>
      <w:rFonts w:hAnsi="Times New Roman" w:cs="Times New Roman"/>
      <w:sz w:val="18"/>
      <w:szCs w:val="20"/>
    </w:rPr>
  </w:style>
  <w:style w:type="character" w:styleId="945" w:customStyle="1">
    <w:name w:val="页脚 字符1"/>
    <w:link w:val="944"/>
    <w:uiPriority w:val="99"/>
    <w:qFormat/>
    <w:rPr>
      <w:rFonts w:ascii="宋体" w:eastAsia="宋体"/>
      <w:sz w:val="18"/>
      <w:lang w:val="en-US" w:eastAsia="zh-CN" w:bidi="ar-SA"/>
    </w:rPr>
  </w:style>
  <w:style w:type="paragraph" w:styleId="946">
    <w:name w:val="Header"/>
    <w:basedOn w:val="894"/>
    <w:link w:val="947"/>
    <w:uiPriority w:val="99"/>
    <w:qFormat/>
    <w:pPr>
      <w:jc w:val="center"/>
      <w:widowControl w:val="off"/>
      <w:tabs>
        <w:tab w:val="center" w:pos="4153" w:leader="none"/>
        <w:tab w:val="right" w:pos="8306" w:leader="none"/>
      </w:tabs>
      <w:pBdr>
        <w:bottom w:val="single" w:color="auto" w:sz="6" w:space="1"/>
      </w:pBdr>
    </w:pPr>
    <w:rPr>
      <w:rFonts w:ascii="Times New Roman" w:hAnsi="Times New Roman" w:cs="Times New Roman"/>
      <w:sz w:val="18"/>
      <w:szCs w:val="18"/>
    </w:rPr>
  </w:style>
  <w:style w:type="character" w:styleId="947" w:customStyle="1">
    <w:name w:val="页眉 字符"/>
    <w:link w:val="946"/>
    <w:uiPriority w:val="99"/>
    <w:qFormat/>
    <w:rPr>
      <w:rFonts w:eastAsia="宋体"/>
      <w:sz w:val="18"/>
      <w:szCs w:val="18"/>
      <w:lang w:val="en-US" w:eastAsia="zh-CN" w:bidi="ar-SA"/>
    </w:rPr>
  </w:style>
  <w:style w:type="paragraph" w:styleId="948" w:customStyle="1">
    <w:name w:val="目录 1"/>
    <w:basedOn w:val="894"/>
    <w:next w:val="894"/>
    <w:uiPriority w:val="39"/>
    <w:qFormat/>
    <w:pPr>
      <w:jc w:val="both"/>
      <w:spacing w:line="300" w:lineRule="auto"/>
      <w:widowControl w:val="off"/>
      <w:tabs>
        <w:tab w:val="left" w:pos="1050" w:leader="none"/>
        <w:tab w:val="right" w:pos="8937" w:leader="dot"/>
      </w:tabs>
    </w:pPr>
    <w:rPr>
      <w:rFonts w:cs="Times New Roman"/>
      <w:b/>
    </w:rPr>
  </w:style>
  <w:style w:type="paragraph" w:styleId="949" w:customStyle="1">
    <w:name w:val="目录 4"/>
    <w:basedOn w:val="894"/>
    <w:next w:val="894"/>
    <w:qFormat/>
    <w:pPr>
      <w:ind w:left="1260"/>
      <w:jc w:val="both"/>
      <w:widowControl w:val="off"/>
    </w:pPr>
    <w:rPr>
      <w:rFonts w:ascii="Times New Roman" w:hAnsi="Times New Roman" w:cs="Times New Roman"/>
      <w:sz w:val="21"/>
    </w:rPr>
  </w:style>
  <w:style w:type="paragraph" w:styleId="950" w:customStyle="1">
    <w:name w:val="目录 6"/>
    <w:basedOn w:val="894"/>
    <w:next w:val="894"/>
    <w:qFormat/>
    <w:pPr>
      <w:ind w:left="2100"/>
      <w:jc w:val="both"/>
      <w:widowControl w:val="off"/>
    </w:pPr>
    <w:rPr>
      <w:rFonts w:ascii="Times New Roman" w:hAnsi="Times New Roman" w:cs="Times New Roman"/>
      <w:sz w:val="21"/>
    </w:rPr>
  </w:style>
  <w:style w:type="paragraph" w:styleId="951">
    <w:name w:val="Body Text Indent 3"/>
    <w:basedOn w:val="894"/>
    <w:link w:val="952"/>
    <w:qFormat/>
    <w:pPr>
      <w:ind w:left="720" w:firstLine="480"/>
      <w:spacing w:before="120" w:line="22" w:lineRule="atLeast"/>
      <w:widowControl w:val="off"/>
    </w:pPr>
    <w:rPr>
      <w:rFonts w:hAnsi="Times New Roman" w:cs="Times New Roman"/>
      <w:szCs w:val="20"/>
    </w:rPr>
  </w:style>
  <w:style w:type="character" w:styleId="952" w:customStyle="1">
    <w:name w:val="正文文本缩进 3 字符"/>
    <w:link w:val="951"/>
    <w:qFormat/>
    <w:rPr>
      <w:rFonts w:ascii="宋体"/>
      <w:sz w:val="24"/>
    </w:rPr>
  </w:style>
  <w:style w:type="paragraph" w:styleId="953" w:customStyle="1">
    <w:name w:val="目录 2"/>
    <w:basedOn w:val="894"/>
    <w:next w:val="894"/>
    <w:uiPriority w:val="39"/>
    <w:qFormat/>
    <w:pPr>
      <w:ind w:left="420"/>
      <w:jc w:val="both"/>
      <w:spacing w:line="312" w:lineRule="auto"/>
      <w:widowControl w:val="off"/>
      <w:tabs>
        <w:tab w:val="right" w:pos="8937" w:leader="dot"/>
      </w:tabs>
    </w:pPr>
    <w:rPr>
      <w:rFonts w:ascii="Times New Roman" w:hAnsi="Times New Roman" w:cs="Times New Roman"/>
      <w:sz w:val="21"/>
    </w:rPr>
  </w:style>
  <w:style w:type="paragraph" w:styleId="954" w:customStyle="1">
    <w:name w:val="目录 9"/>
    <w:basedOn w:val="894"/>
    <w:next w:val="894"/>
    <w:qFormat/>
    <w:pPr>
      <w:ind w:left="3360"/>
      <w:jc w:val="both"/>
      <w:widowControl w:val="off"/>
    </w:pPr>
    <w:rPr>
      <w:rFonts w:ascii="Times New Roman" w:hAnsi="Times New Roman" w:cs="Times New Roman"/>
      <w:sz w:val="21"/>
    </w:rPr>
  </w:style>
  <w:style w:type="paragraph" w:styleId="955">
    <w:name w:val="HTML Preformatted"/>
    <w:basedOn w:val="894"/>
    <w:link w:val="956"/>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style>
  <w:style w:type="character" w:styleId="956" w:customStyle="1">
    <w:name w:val="HTML 预设格式 字符"/>
    <w:link w:val="955"/>
    <w:qFormat/>
    <w:rPr>
      <w:rFonts w:ascii="宋体" w:hAnsi="宋体" w:cs="宋体"/>
      <w:sz w:val="24"/>
      <w:szCs w:val="24"/>
    </w:rPr>
  </w:style>
  <w:style w:type="paragraph" w:styleId="957">
    <w:name w:val="Normal (Web)"/>
    <w:basedOn w:val="894"/>
    <w:uiPriority w:val="99"/>
    <w:unhideWhenUsed/>
    <w:qFormat/>
    <w:pPr>
      <w:spacing w:before="100" w:beforeAutospacing="1" w:after="100" w:afterAutospacing="1"/>
    </w:pPr>
  </w:style>
  <w:style w:type="paragraph" w:styleId="958">
    <w:name w:val="index 1"/>
    <w:basedOn w:val="894"/>
    <w:next w:val="894"/>
    <w:qFormat/>
    <w:pPr>
      <w:jc w:val="both"/>
      <w:widowControl w:val="off"/>
    </w:pPr>
    <w:rPr>
      <w:rFonts w:ascii="Times New Roman" w:hAnsi="Times New Roman" w:cs="Times New Roman"/>
      <w:sz w:val="21"/>
      <w:szCs w:val="20"/>
    </w:rPr>
  </w:style>
  <w:style w:type="paragraph" w:styleId="959">
    <w:name w:val="Title"/>
    <w:basedOn w:val="894"/>
    <w:link w:val="960"/>
    <w:uiPriority w:val="10"/>
    <w:qFormat/>
    <w:pPr>
      <w:jc w:val="center"/>
      <w:widowControl w:val="off"/>
      <w:outlineLvl w:val="0"/>
    </w:pPr>
    <w:rPr>
      <w:rFonts w:ascii="Times New Roman" w:hAnsi="Times New Roman" w:cs="Times New Roman"/>
      <w:b/>
      <w:sz w:val="32"/>
      <w:szCs w:val="20"/>
    </w:rPr>
  </w:style>
  <w:style w:type="character" w:styleId="960" w:customStyle="1">
    <w:name w:val="标题 字符"/>
    <w:link w:val="959"/>
    <w:uiPriority w:val="10"/>
    <w:qFormat/>
    <w:rPr>
      <w:b/>
      <w:sz w:val="32"/>
    </w:rPr>
  </w:style>
  <w:style w:type="paragraph" w:styleId="961">
    <w:name w:val="annotation subject"/>
    <w:basedOn w:val="923"/>
    <w:next w:val="923"/>
    <w:link w:val="962"/>
    <w:qFormat/>
    <w:rPr>
      <w:b/>
      <w:bCs/>
    </w:rPr>
  </w:style>
  <w:style w:type="character" w:styleId="962" w:customStyle="1">
    <w:name w:val="批注主题 字符"/>
    <w:link w:val="961"/>
    <w:qFormat/>
    <w:rPr>
      <w:rFonts w:ascii="Times New Roman" w:hAnsi="Times New Roman" w:eastAsia="宋体" w:cs="Times New Roman"/>
      <w:b/>
      <w:bCs/>
      <w:sz w:val="21"/>
      <w:szCs w:val="24"/>
      <w:lang w:val="en-US" w:eastAsia="zh-CN" w:bidi="ar-SA"/>
    </w:rPr>
  </w:style>
  <w:style w:type="character" w:styleId="963" w:customStyle="1">
    <w:name w:val="批注文字 字符"/>
    <w:uiPriority w:val="99"/>
    <w:qFormat/>
    <w:rPr>
      <w:rFonts w:ascii="Times New Roman" w:hAnsi="Times New Roman" w:eastAsia="宋体" w:cs="Times New Roman"/>
      <w:sz w:val="24"/>
      <w:lang w:val="en-US" w:eastAsia="zh-CN" w:bidi="ar-SA"/>
    </w:rPr>
  </w:style>
  <w:style w:type="paragraph" w:styleId="964" w:customStyle="1">
    <w:name w:val="正文首行缩进"/>
    <w:basedOn w:val="927"/>
    <w:uiPriority w:val="99"/>
    <w:qFormat/>
    <w:pPr>
      <w:ind w:firstLine="420"/>
    </w:pPr>
  </w:style>
  <w:style w:type="paragraph" w:styleId="965" w:customStyle="1">
    <w:name w:val="正文首行缩进 2"/>
    <w:basedOn w:val="929"/>
    <w:link w:val="966"/>
    <w:qFormat/>
    <w:pPr>
      <w:ind w:left="420" w:firstLine="420"/>
      <w:spacing w:after="120" w:line="480" w:lineRule="exact"/>
    </w:pPr>
    <w:rPr>
      <w:szCs w:val="20"/>
    </w:rPr>
  </w:style>
  <w:style w:type="character" w:styleId="966" w:customStyle="1">
    <w:name w:val="正文首行缩进 2 Char"/>
    <w:link w:val="965"/>
    <w:qFormat/>
    <w:rPr>
      <w:rFonts w:eastAsia="宋体"/>
      <w:sz w:val="24"/>
      <w:szCs w:val="24"/>
      <w:lang w:val="en-US" w:eastAsia="zh-CN" w:bidi="ar-SA"/>
    </w:rPr>
  </w:style>
  <w:style w:type="table" w:styleId="967">
    <w:name w:val="Table Grid"/>
    <w:basedOn w:val="905"/>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68">
    <w:name w:val="Medium Grid 1 Accent 2"/>
    <w:basedOn w:val="905"/>
    <w:qFormat/>
    <w:rPr>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band1Horz">
      <w:tcPr>
        <w:shd w:val="clear" w:color="auto" w:fill="dfa7a6"/>
      </w:tcPr>
    </w:tblStylePr>
    <w:tblStylePr w:type="band1Vert">
      <w:tcPr>
        <w:shd w:val="clear" w:color="auto" w:fill="dfa7a6"/>
      </w:tcPr>
    </w:tblStylePr>
    <w:tblStylePr w:type="firstCol">
      <w:rPr>
        <w:b/>
        <w:bCs/>
      </w:rPr>
    </w:tblStylePr>
    <w:tblStylePr w:type="firstRow">
      <w:rPr>
        <w:b/>
        <w:bCs/>
      </w:rPr>
    </w:tblStylePr>
    <w:tblStylePr w:type="lastCol">
      <w:rPr>
        <w:b/>
        <w:bCs/>
      </w:rPr>
    </w:tblStylePr>
    <w:tblStylePr w:type="lastRow">
      <w:rPr>
        <w:b/>
        <w:bCs/>
      </w:rPr>
      <w:tcPr>
        <w:tcBorders>
          <w:top w:val="single" w:color="CF7B79" w:sz="18"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969">
    <w:name w:val="Strong"/>
    <w:qFormat/>
    <w:rPr>
      <w:b/>
      <w:bCs/>
    </w:rPr>
  </w:style>
  <w:style w:type="character" w:styleId="970">
    <w:name w:val="page number"/>
    <w:qFormat/>
  </w:style>
  <w:style w:type="character" w:styleId="971">
    <w:name w:val="FollowedHyperlink"/>
    <w:uiPriority w:val="99"/>
    <w:qFormat/>
    <w:rPr>
      <w:color w:val="333333"/>
      <w:u w:val="none"/>
    </w:rPr>
  </w:style>
  <w:style w:type="character" w:styleId="972">
    <w:name w:val="Emphasis"/>
    <w:qFormat/>
    <w:rPr>
      <w:color w:val="cc0033"/>
    </w:rPr>
  </w:style>
  <w:style w:type="character" w:styleId="973">
    <w:name w:val="Hyperlink"/>
    <w:uiPriority w:val="99"/>
    <w:qFormat/>
    <w:rPr>
      <w:color w:val="333333"/>
      <w:u w:val="none"/>
    </w:rPr>
  </w:style>
  <w:style w:type="character" w:styleId="974">
    <w:name w:val="annotation reference"/>
    <w:uiPriority w:val="99"/>
    <w:qFormat/>
    <w:rPr>
      <w:sz w:val="21"/>
      <w:szCs w:val="21"/>
    </w:rPr>
  </w:style>
  <w:style w:type="character" w:styleId="975">
    <w:name w:val="HTML Cite"/>
    <w:qFormat/>
    <w:rPr>
      <w:i/>
      <w:iCs/>
    </w:rPr>
  </w:style>
  <w:style w:type="character" w:styleId="976" w:customStyle="1">
    <w:name w:val="c21"/>
    <w:qFormat/>
    <w:rPr>
      <w:rFonts w:hint="default" w:ascii="ˎ̥" w:hAnsi="ˎ̥"/>
      <w:color w:val="000000"/>
      <w:sz w:val="20"/>
      <w:szCs w:val="20"/>
      <w:u w:val="none"/>
    </w:rPr>
  </w:style>
  <w:style w:type="character" w:styleId="977" w:customStyle="1">
    <w:name w:val="title4"/>
    <w:qFormat/>
    <w:rPr>
      <w:b/>
      <w:bCs/>
      <w:color w:val="1d87b3"/>
      <w:sz w:val="15"/>
      <w:szCs w:val="15"/>
    </w:rPr>
  </w:style>
  <w:style w:type="character" w:styleId="978" w:customStyle="1">
    <w:name w:val="标题 2 Char Char"/>
    <w:qFormat/>
    <w:rPr>
      <w:rFonts w:ascii="Arial" w:hAnsi="Arial" w:eastAsia="黑体"/>
      <w:b/>
      <w:bCs/>
      <w:sz w:val="32"/>
      <w:szCs w:val="32"/>
      <w:lang w:val="en-US" w:eastAsia="zh-CN" w:bidi="ar-SA"/>
    </w:rPr>
  </w:style>
  <w:style w:type="character" w:styleId="979" w:customStyle="1">
    <w:name w:val="black1"/>
    <w:qFormat/>
    <w:rPr>
      <w:color w:val="000000"/>
    </w:rPr>
  </w:style>
  <w:style w:type="character" w:styleId="980" w:customStyle="1">
    <w:name w:val="street-address"/>
    <w:qFormat/>
  </w:style>
  <w:style w:type="character" w:styleId="981" w:customStyle="1">
    <w:name w:val="locality"/>
    <w:qFormat/>
  </w:style>
  <w:style w:type="character" w:styleId="982" w:customStyle="1">
    <w:name w:val="正文文本缩进 Char1"/>
    <w:link w:val="983"/>
    <w:qFormat/>
    <w:rPr>
      <w:rFonts w:ascii="宋体" w:hAnsi="宋体" w:eastAsia="宋体"/>
      <w:sz w:val="24"/>
      <w:szCs w:val="24"/>
      <w:lang w:bidi="ar-SA"/>
    </w:rPr>
  </w:style>
  <w:style w:type="paragraph" w:styleId="983" w:customStyle="1">
    <w:name w:val="正文文本缩进1"/>
    <w:basedOn w:val="894"/>
    <w:link w:val="982"/>
    <w:qFormat/>
    <w:pPr>
      <w:ind w:firstLine="480"/>
      <w:jc w:val="both"/>
      <w:spacing w:line="480" w:lineRule="exact"/>
      <w:widowControl w:val="off"/>
    </w:pPr>
    <w:rPr>
      <w:rFonts w:cs="Times New Roman"/>
    </w:rPr>
  </w:style>
  <w:style w:type="character" w:styleId="984" w:customStyle="1">
    <w:name w:val="Char Char11"/>
    <w:qFormat/>
    <w:rPr>
      <w:rFonts w:ascii="宋体" w:eastAsia="宋体"/>
      <w:b/>
      <w:sz w:val="24"/>
      <w:u w:val="single"/>
      <w:lang w:val="en-US" w:eastAsia="zh-CN" w:bidi="ar-SA"/>
    </w:rPr>
  </w:style>
  <w:style w:type="character" w:styleId="985" w:customStyle="1">
    <w:name w:val="txt"/>
    <w:qFormat/>
  </w:style>
  <w:style w:type="character" w:styleId="986" w:customStyle="1">
    <w:name w:val="正文缩进 Char Char"/>
    <w:link w:val="987"/>
    <w:qFormat/>
    <w:rPr>
      <w:rFonts w:ascii="宋体" w:eastAsia="宋体"/>
      <w:color w:val="000000"/>
      <w:sz w:val="28"/>
      <w:lang w:bidi="ar-SA"/>
    </w:rPr>
  </w:style>
  <w:style w:type="paragraph" w:styleId="987" w:customStyle="1">
    <w:name w:val="正文缩进1"/>
    <w:basedOn w:val="894"/>
    <w:link w:val="986"/>
    <w:qFormat/>
    <w:pPr>
      <w:ind w:firstLine="567"/>
      <w:jc w:val="both"/>
      <w:spacing w:line="480" w:lineRule="exact"/>
    </w:pPr>
    <w:rPr>
      <w:rFonts w:hAnsi="Times New Roman" w:cs="Times New Roman"/>
      <w:color w:val="000000"/>
      <w:sz w:val="28"/>
      <w:szCs w:val="20"/>
    </w:rPr>
  </w:style>
  <w:style w:type="character" w:styleId="988" w:customStyle="1">
    <w:name w:val="普通文字1 Char1"/>
    <w:qFormat/>
    <w:rPr>
      <w:rFonts w:ascii="宋体" w:hAnsi="Courier New" w:eastAsia="宋体"/>
      <w:sz w:val="21"/>
      <w:lang w:val="en-US" w:eastAsia="zh-CN" w:bidi="ar-SA"/>
    </w:rPr>
  </w:style>
  <w:style w:type="character" w:styleId="989" w:customStyle="1">
    <w:name w:val="chanpin1"/>
    <w:qFormat/>
    <w:rPr>
      <w:rFonts w:hint="default" w:ascii="ˎ̥" w:hAnsi="ˎ̥"/>
      <w:color w:val="000000"/>
      <w:sz w:val="20"/>
      <w:szCs w:val="20"/>
      <w:u w:val="none"/>
    </w:rPr>
  </w:style>
  <w:style w:type="character" w:styleId="990" w:customStyle="1">
    <w:name w:val="列出段落 Char1"/>
    <w:link w:val="991"/>
    <w:uiPriority w:val="34"/>
    <w:qFormat/>
    <w:rPr>
      <w:rFonts w:ascii="Calibri" w:hAnsi="Calibri" w:eastAsia="宋体"/>
      <w:sz w:val="21"/>
      <w:szCs w:val="22"/>
      <w:lang w:val="en-US" w:eastAsia="zh-CN" w:bidi="ar-SA"/>
    </w:rPr>
  </w:style>
  <w:style w:type="paragraph" w:styleId="991" w:customStyle="1">
    <w:name w:val="列出段落"/>
    <w:basedOn w:val="894"/>
    <w:link w:val="990"/>
    <w:uiPriority w:val="34"/>
    <w:qFormat/>
    <w:pPr>
      <w:ind w:firstLine="420"/>
      <w:jc w:val="both"/>
      <w:widowControl w:val="off"/>
    </w:pPr>
    <w:rPr>
      <w:rFonts w:ascii="Calibri" w:hAnsi="Calibri" w:cs="Times New Roman"/>
      <w:sz w:val="21"/>
      <w:szCs w:val="22"/>
    </w:rPr>
  </w:style>
  <w:style w:type="character" w:styleId="992" w:customStyle="1">
    <w:name w:val="标题 3 Char Char"/>
    <w:qFormat/>
    <w:rPr>
      <w:rFonts w:eastAsia="宋体"/>
      <w:b/>
      <w:bCs/>
      <w:sz w:val="32"/>
      <w:szCs w:val="32"/>
      <w:lang w:val="en-US" w:eastAsia="zh-CN" w:bidi="ar-SA"/>
    </w:rPr>
  </w:style>
  <w:style w:type="character" w:styleId="993" w:customStyle="1">
    <w:name w:val="段1 Char"/>
    <w:qFormat/>
    <w:rPr>
      <w:rFonts w:ascii="宋体" w:eastAsia="宋体"/>
      <w:sz w:val="24"/>
      <w:lang w:val="en-US" w:eastAsia="zh-CN" w:bidi="ar-SA"/>
    </w:rPr>
  </w:style>
  <w:style w:type="character" w:styleId="994" w:customStyle="1">
    <w:name w:val="chanpin拷贝"/>
    <w:qFormat/>
  </w:style>
  <w:style w:type="character" w:styleId="995" w:customStyle="1">
    <w:name w:val="纯文本 Char1"/>
    <w:qFormat/>
    <w:rPr>
      <w:rFonts w:ascii="宋体" w:hAnsi="Courier New" w:eastAsia="宋体"/>
      <w:sz w:val="21"/>
      <w:lang w:val="en-US" w:eastAsia="zh-CN" w:bidi="ar-SA"/>
    </w:rPr>
  </w:style>
  <w:style w:type="character" w:styleId="996" w:customStyle="1">
    <w:name w:val="apple-style-span"/>
    <w:qFormat/>
    <w:rPr>
      <w:rFonts w:cs="Times New Roman"/>
    </w:rPr>
  </w:style>
  <w:style w:type="paragraph" w:styleId="997" w:customStyle="1">
    <w:name w:val="二级条标题"/>
    <w:basedOn w:val="998"/>
    <w:next w:val="894"/>
    <w:qFormat/>
    <w:pPr>
      <w:numPr>
        <w:ilvl w:val="0"/>
        <w:numId w:val="0"/>
      </w:numPr>
      <w:ind w:hanging="840"/>
      <w:outlineLvl w:val="2"/>
    </w:pPr>
    <w:rPr>
      <w:rFonts w:ascii="宋体" w:eastAsia="宋体"/>
      <w:b w:val="0"/>
    </w:rPr>
  </w:style>
  <w:style w:type="paragraph" w:styleId="998" w:customStyle="1">
    <w:name w:val="一级条标题"/>
    <w:basedOn w:val="999"/>
    <w:next w:val="894"/>
    <w:qFormat/>
    <w:pPr>
      <w:numPr>
        <w:ilvl w:val="1"/>
      </w:numPr>
      <w:ind w:left="0" w:hanging="840"/>
      <w:tabs>
        <w:tab w:val="left" w:pos="360" w:leader="none"/>
        <w:tab w:val="left" w:pos="840" w:leader="none"/>
      </w:tabs>
      <w:outlineLvl w:val="1"/>
    </w:pPr>
  </w:style>
  <w:style w:type="paragraph" w:styleId="999" w:customStyle="1">
    <w:name w:val="章标题"/>
    <w:next w:val="894"/>
    <w:qFormat/>
    <w:pPr>
      <w:numPr>
        <w:numId w:val="1"/>
      </w:numPr>
      <w:ind w:left="0"/>
      <w:jc w:val="both"/>
      <w:spacing w:before="156" w:after="156" w:line="460" w:lineRule="exact"/>
      <w:outlineLvl w:val="0"/>
    </w:pPr>
    <w:rPr>
      <w:rFonts w:ascii="黑体" w:eastAsia="黑体"/>
      <w:b/>
      <w:sz w:val="28"/>
    </w:rPr>
  </w:style>
  <w:style w:type="paragraph" w:styleId="1000" w:customStyle="1">
    <w:name w:val="font7"/>
    <w:basedOn w:val="894"/>
    <w:qFormat/>
    <w:pPr>
      <w:spacing w:before="100" w:beforeAutospacing="1" w:after="100" w:afterAutospacing="1"/>
    </w:pPr>
    <w:rPr>
      <w:rFonts w:ascii="Times New Roman" w:hAnsi="Times New Roman" w:eastAsia="Arial Unicode MS" w:cs="Times New Roman"/>
      <w:b/>
      <w:bCs/>
      <w:color w:val="000000"/>
      <w:sz w:val="20"/>
      <w:szCs w:val="20"/>
    </w:rPr>
  </w:style>
  <w:style w:type="paragraph" w:styleId="1001" w:customStyle="1">
    <w:name w:val="字元 字元"/>
    <w:basedOn w:val="894"/>
    <w:qFormat/>
    <w:pPr>
      <w:jc w:val="both"/>
      <w:widowControl w:val="off"/>
    </w:pPr>
    <w:rPr>
      <w:rFonts w:ascii="Tahoma" w:hAnsi="Tahoma" w:cs="Times New Roman"/>
      <w:szCs w:val="20"/>
    </w:rPr>
  </w:style>
  <w:style w:type="paragraph" w:styleId="1002" w:customStyle="1">
    <w:name w:val="Char3 Char Char Char"/>
    <w:basedOn w:val="894"/>
    <w:qFormat/>
    <w:pPr>
      <w:jc w:val="both"/>
      <w:widowControl w:val="off"/>
    </w:pPr>
    <w:rPr>
      <w:rFonts w:ascii="Tahoma" w:hAnsi="Tahoma" w:cs="Times New Roman"/>
      <w:szCs w:val="20"/>
    </w:rPr>
  </w:style>
  <w:style w:type="paragraph" w:styleId="1003" w:customStyle="1">
    <w:name w:val="font6"/>
    <w:basedOn w:val="894"/>
    <w:qFormat/>
    <w:pPr>
      <w:spacing w:before="100" w:beforeAutospacing="1" w:after="100" w:afterAutospacing="1"/>
    </w:pPr>
    <w:rPr>
      <w:sz w:val="20"/>
      <w:szCs w:val="20"/>
    </w:rPr>
  </w:style>
  <w:style w:type="paragraph" w:styleId="1004" w:customStyle="1">
    <w:name w:val="项目编号2"/>
    <w:basedOn w:val="1005"/>
    <w:qFormat/>
    <w:pPr>
      <w:numPr>
        <w:numId w:val="3"/>
      </w:numPr>
    </w:pPr>
  </w:style>
  <w:style w:type="paragraph" w:styleId="1005" w:customStyle="1">
    <w:name w:val="项目编号1"/>
    <w:basedOn w:val="894"/>
    <w:qFormat/>
    <w:pPr>
      <w:numPr>
        <w:numId w:val="2"/>
      </w:numPr>
      <w:jc w:val="both"/>
      <w:spacing w:before="100" w:beforeAutospacing="1" w:after="100" w:afterAutospacing="1" w:line="360" w:lineRule="auto"/>
      <w:widowControl w:val="off"/>
    </w:pPr>
    <w:rPr>
      <w:rFonts w:ascii="Times New Roman" w:hAnsi="Times New Roman" w:cs="Times New Roman"/>
    </w:rPr>
  </w:style>
  <w:style w:type="paragraph" w:styleId="1006" w:customStyle="1">
    <w:name w:val="图中文字"/>
    <w:basedOn w:val="894"/>
    <w:qFormat/>
    <w:pPr>
      <w:jc w:val="center"/>
      <w:spacing w:line="0" w:lineRule="atLeast"/>
      <w:widowControl w:val="off"/>
    </w:pPr>
    <w:rPr>
      <w:rFonts w:ascii="Times New Roman" w:hAnsi="Times New Roman" w:cs="Times New Roman"/>
      <w:szCs w:val="20"/>
    </w:rPr>
  </w:style>
  <w:style w:type="paragraph" w:styleId="1007" w:customStyle="1">
    <w:name w:val="xl46"/>
    <w:basedOn w:val="894"/>
    <w:qFormat/>
    <w:pPr>
      <w:spacing w:before="100" w:beforeAutospacing="1" w:after="100" w:afterAutospacing="1"/>
      <w:pBdr>
        <w:top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008" w:customStyle="1">
    <w:name w:val="xl25"/>
    <w:basedOn w:val="894"/>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009" w:customStyle="1">
    <w:name w:val="Char2"/>
    <w:basedOn w:val="894"/>
    <w:qFormat/>
    <w:pPr>
      <w:jc w:val="both"/>
      <w:widowControl w:val="off"/>
    </w:pPr>
    <w:rPr>
      <w:rFonts w:ascii="Tahoma" w:hAnsi="Tahoma" w:cs="Times New Roman"/>
      <w:szCs w:val="20"/>
    </w:rPr>
  </w:style>
  <w:style w:type="paragraph" w:styleId="1010" w:customStyle="1">
    <w:name w:val="xl35"/>
    <w:basedOn w:val="894"/>
    <w:qFormat/>
    <w:pPr>
      <w:spacing w:before="100" w:beforeAutospacing="1" w:after="100" w:afterAutospacing="1"/>
    </w:pPr>
    <w:rPr>
      <w:rFonts w:ascii="Arial Unicode MS" w:hAnsi="Arial Unicode MS" w:eastAsia="Arial Unicode MS" w:cs="Arial Unicode MS"/>
      <w:color w:val="000000"/>
      <w:sz w:val="20"/>
      <w:szCs w:val="20"/>
    </w:rPr>
  </w:style>
  <w:style w:type="paragraph" w:styleId="1011" w:customStyle="1">
    <w:name w:val="xl40"/>
    <w:basedOn w:val="894"/>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012" w:customStyle="1">
    <w:name w:val="xl52"/>
    <w:basedOn w:val="894"/>
    <w:qFormat/>
    <w:pPr>
      <w:jc w:val="both"/>
      <w:spacing w:before="100" w:beforeAutospacing="1" w:after="100" w:afterAutospacing="1"/>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16"/>
      <w:szCs w:val="16"/>
    </w:rPr>
  </w:style>
  <w:style w:type="paragraph" w:styleId="1013" w:customStyle="1">
    <w:name w:val="xl43"/>
    <w:basedOn w:val="894"/>
    <w:qFormat/>
    <w:pPr>
      <w:spacing w:before="100" w:beforeAutospacing="1" w:after="100" w:afterAutospacing="1"/>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014" w:customStyle="1">
    <w:name w:val="background1"/>
    <w:basedOn w:val="894"/>
    <w:qFormat/>
    <w:pPr>
      <w:spacing w:before="100" w:beforeAutospacing="1" w:after="100" w:afterAutospacing="1"/>
    </w:pPr>
  </w:style>
  <w:style w:type="paragraph" w:styleId="1015" w:customStyle="1">
    <w:name w:val="Char Char Char Char Char Char Char"/>
    <w:basedOn w:val="894"/>
    <w:qFormat/>
    <w:pPr>
      <w:ind w:firstLine="200"/>
      <w:jc w:val="both"/>
      <w:spacing w:line="360" w:lineRule="auto"/>
      <w:widowControl w:val="off"/>
    </w:pPr>
    <w:rPr>
      <w:rFonts w:ascii="Times New Roman" w:hAnsi="Times New Roman" w:eastAsia="仿宋_GB2312" w:cs="Times New Roman"/>
    </w:rPr>
  </w:style>
  <w:style w:type="paragraph" w:styleId="1016" w:customStyle="1">
    <w:name w:val="xl38"/>
    <w:basedOn w:val="894"/>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16"/>
      <w:szCs w:val="16"/>
    </w:rPr>
  </w:style>
  <w:style w:type="paragraph" w:styleId="1017" w:customStyle="1">
    <w:name w:val="xl36"/>
    <w:basedOn w:val="894"/>
    <w:qFormat/>
    <w:pPr>
      <w:jc w:val="center"/>
      <w:spacing w:before="100" w:beforeAutospacing="1" w:after="100" w:afterAutospacing="1"/>
    </w:pPr>
    <w:rPr>
      <w:rFonts w:ascii="Arial Unicode MS" w:hAnsi="Arial Unicode MS" w:eastAsia="Arial Unicode MS" w:cs="Arial Unicode MS"/>
      <w:color w:val="000000"/>
      <w:sz w:val="20"/>
      <w:szCs w:val="20"/>
    </w:rPr>
  </w:style>
  <w:style w:type="paragraph" w:styleId="1018" w:customStyle="1">
    <w:name w:val="正文 + 宋体"/>
    <w:basedOn w:val="894"/>
    <w:qFormat/>
    <w:pPr>
      <w:ind w:left="360" w:hanging="360"/>
    </w:pPr>
    <w:rPr>
      <w:b/>
      <w:bCs/>
      <w:color w:val="000000"/>
      <w:sz w:val="18"/>
      <w:szCs w:val="18"/>
    </w:rPr>
  </w:style>
  <w:style w:type="paragraph" w:styleId="1019" w:customStyle="1">
    <w:name w:val="正文列项_数字"/>
    <w:basedOn w:val="894"/>
    <w:qFormat/>
    <w:pPr>
      <w:numPr>
        <w:ilvl w:val="7"/>
        <w:numId w:val="1"/>
      </w:numPr>
      <w:ind w:left="680" w:hanging="150"/>
      <w:jc w:val="both"/>
      <w:spacing w:line="460" w:lineRule="exact"/>
      <w:widowControl w:val="off"/>
      <w:tabs>
        <w:tab w:val="clear" w:pos="860" w:leader="none"/>
      </w:tabs>
      <w:outlineLvl w:val="7"/>
    </w:pPr>
    <w:rPr>
      <w:rFonts w:hAnsi="Times New Roman" w:cs="Times New Roman"/>
      <w:sz w:val="28"/>
      <w:szCs w:val="20"/>
    </w:rPr>
  </w:style>
  <w:style w:type="paragraph" w:styleId="1020" w:customStyle="1">
    <w:name w:val="xl39"/>
    <w:basedOn w:val="894"/>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021" w:customStyle="1">
    <w:name w:val="xl37"/>
    <w:basedOn w:val="894"/>
    <w:qFormat/>
    <w:pPr>
      <w:spacing w:before="100" w:beforeAutospacing="1" w:after="100" w:afterAutospacing="1"/>
    </w:pPr>
    <w:rPr>
      <w:rFonts w:ascii="Arial Unicode MS" w:hAnsi="Arial Unicode MS" w:eastAsia="Arial Unicode MS" w:cs="Arial Unicode MS"/>
      <w:color w:val="000000"/>
      <w:sz w:val="20"/>
      <w:szCs w:val="20"/>
    </w:rPr>
  </w:style>
  <w:style w:type="paragraph" w:styleId="1022" w:customStyle="1">
    <w:name w:val="xl32"/>
    <w:basedOn w:val="894"/>
    <w:qFormat/>
    <w:pPr>
      <w:jc w:val="both"/>
      <w:spacing w:before="100" w:beforeAutospacing="1" w:after="100" w:afterAutospacing="1"/>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023" w:customStyle="1">
    <w:name w:val="font8"/>
    <w:basedOn w:val="894"/>
    <w:qFormat/>
    <w:pPr>
      <w:spacing w:before="100" w:beforeAutospacing="1" w:after="100" w:afterAutospacing="1"/>
    </w:pPr>
    <w:rPr>
      <w:rFonts w:ascii="Times New Roman" w:hAnsi="Times New Roman" w:cs="Times New Roman"/>
      <w:sz w:val="36"/>
      <w:szCs w:val="36"/>
    </w:rPr>
  </w:style>
  <w:style w:type="paragraph" w:styleId="1024" w:customStyle="1">
    <w:name w:val="Char"/>
    <w:basedOn w:val="894"/>
    <w:qFormat/>
    <w:pPr>
      <w:jc w:val="both"/>
      <w:widowControl w:val="off"/>
      <w:tabs>
        <w:tab w:val="left" w:pos="360" w:leader="none"/>
      </w:tabs>
    </w:pPr>
    <w:rPr>
      <w:rFonts w:ascii="Times New Roman" w:hAnsi="Times New Roman" w:cs="Times New Roman"/>
    </w:rPr>
  </w:style>
  <w:style w:type="paragraph" w:styleId="1025" w:customStyle="1">
    <w:name w:val="Char Char Char Char Char Char Char Char Char Char Char Char Char Char Char Char"/>
    <w:basedOn w:val="894"/>
    <w:qFormat/>
    <w:pPr>
      <w:jc w:val="center"/>
      <w:spacing w:after="160" w:line="240" w:lineRule="exact"/>
    </w:pPr>
    <w:rPr>
      <w:rFonts w:cs="Times New Roman"/>
      <w:b/>
      <w:sz w:val="30"/>
      <w:szCs w:val="30"/>
      <w:lang w:eastAsia="en-US"/>
    </w:rPr>
  </w:style>
  <w:style w:type="paragraph" w:styleId="1026" w:customStyle="1">
    <w:name w:val="xl45"/>
    <w:basedOn w:val="894"/>
    <w:qFormat/>
    <w:pPr>
      <w:spacing w:before="100" w:beforeAutospacing="1" w:after="100" w:afterAutospacing="1"/>
      <w:pBdr>
        <w:top w:val="single" w:color="auto" w:sz="4" w:space="0"/>
        <w:left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027" w:customStyle="1">
    <w:name w:val="Char Char1 Char Char Char Char Char Char"/>
    <w:basedOn w:val="894"/>
    <w:qFormat/>
    <w:pPr>
      <w:spacing w:after="160" w:line="240" w:lineRule="exact"/>
    </w:pPr>
    <w:rPr>
      <w:rFonts w:ascii="Verdana" w:hAnsi="Verdana" w:eastAsia="仿宋_GB2312" w:cs="Times New Roman"/>
      <w:szCs w:val="20"/>
      <w:lang w:eastAsia="en-US"/>
    </w:rPr>
  </w:style>
  <w:style w:type="paragraph" w:styleId="1028" w:customStyle="1">
    <w:name w:val="Char Char1"/>
    <w:basedOn w:val="921"/>
    <w:qFormat/>
    <w:rPr>
      <w:rFonts w:ascii="Tahoma" w:hAnsi="Tahoma"/>
      <w:sz w:val="24"/>
    </w:rPr>
  </w:style>
  <w:style w:type="paragraph" w:styleId="1029" w:customStyle="1">
    <w:name w:val="xl26"/>
    <w:basedOn w:val="894"/>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Times New Roman" w:hAnsi="Times New Roman" w:eastAsia="Arial Unicode MS" w:cs="Times New Roman"/>
      <w:color w:val="000000"/>
      <w:sz w:val="22"/>
      <w:szCs w:val="22"/>
    </w:rPr>
  </w:style>
  <w:style w:type="paragraph" w:styleId="1030" w:customStyle="1">
    <w:name w:val="xl30"/>
    <w:basedOn w:val="894"/>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031" w:customStyle="1">
    <w:name w:val="xl41"/>
    <w:basedOn w:val="894"/>
    <w:qFormat/>
    <w:pPr>
      <w:jc w:val="center"/>
      <w:spacing w:before="100" w:beforeAutospacing="1" w:after="100" w:afterAutospacing="1"/>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032" w:customStyle="1">
    <w:name w:val="样式 宋体 五号 行距: 单倍行距"/>
    <w:basedOn w:val="894"/>
    <w:qFormat/>
    <w:pPr>
      <w:widowControl w:val="off"/>
    </w:pPr>
    <w:rPr>
      <w:rFonts w:cs="Times New Roman"/>
      <w:sz w:val="21"/>
      <w:szCs w:val="20"/>
    </w:rPr>
  </w:style>
  <w:style w:type="paragraph" w:styleId="1033" w:customStyle="1">
    <w:name w:val="Char1 Char Char Char1"/>
    <w:basedOn w:val="894"/>
    <w:qFormat/>
    <w:pPr>
      <w:jc w:val="both"/>
      <w:widowControl w:val="off"/>
    </w:pPr>
    <w:rPr>
      <w:rFonts w:ascii="Tahoma" w:hAnsi="Tahoma" w:cs="仿宋_GB2312"/>
      <w:szCs w:val="28"/>
    </w:rPr>
  </w:style>
  <w:style w:type="paragraph" w:styleId="1034" w:customStyle="1">
    <w:name w:val="四级条标题"/>
    <w:basedOn w:val="1035"/>
    <w:next w:val="894"/>
    <w:qFormat/>
    <w:pPr>
      <w:numPr>
        <w:ilvl w:val="4"/>
      </w:numPr>
      <w:ind w:left="0" w:hanging="840"/>
      <w:outlineLvl w:val="4"/>
    </w:pPr>
  </w:style>
  <w:style w:type="paragraph" w:styleId="1035" w:customStyle="1">
    <w:name w:val="三级条标题"/>
    <w:basedOn w:val="997"/>
    <w:next w:val="894"/>
    <w:qFormat/>
    <w:pPr>
      <w:numPr>
        <w:ilvl w:val="3"/>
        <w:numId w:val="1"/>
      </w:numPr>
      <w:ind w:left="0" w:hanging="840"/>
      <w:outlineLvl w:val="3"/>
    </w:pPr>
  </w:style>
  <w:style w:type="paragraph" w:styleId="1036" w:customStyle="1">
    <w:name w:val="??"/>
    <w:qFormat/>
    <w:pPr>
      <w:jc w:val="both"/>
      <w:widowControl w:val="off"/>
    </w:pPr>
    <w:rPr>
      <w:sz w:val="21"/>
      <w:lang w:eastAsia="en-US"/>
    </w:rPr>
  </w:style>
  <w:style w:type="paragraph" w:styleId="1037" w:customStyle="1">
    <w:name w:val="样式 标题 2 + 宋体 五号 行距: 单倍行距"/>
    <w:basedOn w:val="896"/>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038" w:customStyle="1">
    <w:name w:val="List Paragraph1"/>
    <w:basedOn w:val="894"/>
    <w:qFormat/>
    <w:pPr>
      <w:ind w:firstLine="420"/>
      <w:jc w:val="both"/>
      <w:widowControl w:val="off"/>
    </w:pPr>
    <w:rPr>
      <w:rFonts w:ascii="Calibri" w:hAnsi="Calibri" w:cs="Times New Roman"/>
      <w:sz w:val="21"/>
      <w:szCs w:val="22"/>
    </w:rPr>
  </w:style>
  <w:style w:type="paragraph" w:styleId="1039" w:customStyle="1">
    <w:name w:val="项目符号1"/>
    <w:basedOn w:val="1040"/>
    <w:qFormat/>
    <w:pPr>
      <w:ind w:left="-25" w:firstLine="0"/>
    </w:pPr>
  </w:style>
  <w:style w:type="paragraph" w:styleId="1040" w:customStyle="1">
    <w:name w:val="正文文本样式"/>
    <w:basedOn w:val="894"/>
    <w:qFormat/>
    <w:pPr>
      <w:ind w:firstLine="482"/>
      <w:jc w:val="both"/>
      <w:spacing w:line="360" w:lineRule="auto"/>
      <w:widowControl w:val="off"/>
    </w:pPr>
    <w:rPr>
      <w:rFonts w:ascii="Times New Roman" w:hAnsi="Times New Roman"/>
      <w:szCs w:val="20"/>
    </w:rPr>
  </w:style>
  <w:style w:type="paragraph" w:styleId="1041" w:customStyle="1">
    <w:name w:val="xl27"/>
    <w:basedOn w:val="894"/>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Times New Roman" w:hAnsi="Times New Roman" w:eastAsia="Arial Unicode MS" w:cs="Times New Roman"/>
      <w:color w:val="000000"/>
      <w:sz w:val="20"/>
      <w:szCs w:val="20"/>
    </w:rPr>
  </w:style>
  <w:style w:type="paragraph" w:styleId="1042" w:customStyle="1">
    <w:name w:val="font5"/>
    <w:basedOn w:val="894"/>
    <w:qFormat/>
    <w:pPr>
      <w:spacing w:before="100" w:beforeAutospacing="1" w:after="100" w:afterAutospacing="1"/>
    </w:pPr>
    <w:rPr>
      <w:sz w:val="18"/>
      <w:szCs w:val="18"/>
    </w:rPr>
  </w:style>
  <w:style w:type="paragraph" w:styleId="1043" w:customStyle="1">
    <w:name w:val="五级条标题"/>
    <w:basedOn w:val="1034"/>
    <w:next w:val="894"/>
    <w:qFormat/>
    <w:pPr>
      <w:numPr>
        <w:ilvl w:val="5"/>
      </w:numPr>
      <w:ind w:left="0" w:hanging="840"/>
      <w:outlineLvl w:val="5"/>
    </w:pPr>
  </w:style>
  <w:style w:type="paragraph" w:styleId="1044" w:customStyle="1">
    <w:name w:val="xl49"/>
    <w:basedOn w:val="894"/>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2"/>
      <w:szCs w:val="22"/>
    </w:rPr>
  </w:style>
  <w:style w:type="paragraph" w:styleId="1045" w:customStyle="1">
    <w:name w:val="文档正文"/>
    <w:basedOn w:val="894"/>
    <w:qFormat/>
    <w:pPr>
      <w:jc w:val="both"/>
      <w:spacing w:before="120" w:after="120" w:line="180" w:lineRule="auto"/>
      <w:widowControl w:val="off"/>
    </w:pPr>
    <w:rPr>
      <w:rFonts w:ascii="Arial" w:hAnsi="Arial" w:cs="Times New Roman"/>
      <w:sz w:val="21"/>
      <w:szCs w:val="20"/>
    </w:rPr>
  </w:style>
  <w:style w:type="paragraph" w:styleId="1046" w:customStyle="1">
    <w:name w:val="xl33"/>
    <w:basedOn w:val="894"/>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Times New Roman" w:hAnsi="Times New Roman" w:eastAsia="Arial Unicode MS" w:cs="Times New Roman"/>
      <w:color w:val="000000"/>
      <w:sz w:val="20"/>
      <w:szCs w:val="20"/>
    </w:rPr>
  </w:style>
  <w:style w:type="paragraph" w:styleId="1047" w:customStyle="1">
    <w:name w:val="xl42"/>
    <w:basedOn w:val="894"/>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Times New Roman" w:hAnsi="Times New Roman" w:eastAsia="Arial Unicode MS" w:cs="Times New Roman"/>
      <w:b/>
      <w:bCs/>
      <w:color w:val="000000"/>
      <w:sz w:val="20"/>
      <w:szCs w:val="20"/>
    </w:rPr>
  </w:style>
  <w:style w:type="paragraph" w:styleId="1048" w:customStyle="1">
    <w:name w:val="Char Char Char1 Char"/>
    <w:basedOn w:val="894"/>
    <w:qFormat/>
    <w:pPr>
      <w:jc w:val="both"/>
      <w:widowControl w:val="off"/>
    </w:pPr>
    <w:rPr>
      <w:rFonts w:ascii="Tahoma" w:hAnsi="Tahoma" w:cs="Times New Roman"/>
      <w:szCs w:val="20"/>
    </w:rPr>
  </w:style>
  <w:style w:type="paragraph" w:styleId="1049" w:customStyle="1">
    <w:name w:val="xl44"/>
    <w:basedOn w:val="894"/>
    <w:qFormat/>
    <w:pPr>
      <w:spacing w:before="100" w:beforeAutospacing="1" w:after="100" w:afterAutospacing="1"/>
      <w:pBdr>
        <w:top w:val="single" w:color="auto" w:sz="4" w:space="0"/>
        <w:bottom w:val="single" w:color="auto" w:sz="4" w:space="0"/>
        <w:right w:val="single" w:color="auto" w:sz="4" w:space="0"/>
      </w:pBdr>
    </w:pPr>
    <w:rPr>
      <w:rFonts w:ascii="Arial Unicode MS" w:hAnsi="Arial Unicode MS" w:eastAsia="Arial Unicode MS" w:cs="Arial Unicode MS"/>
    </w:rPr>
  </w:style>
  <w:style w:type="paragraph" w:styleId="1050" w:customStyle="1">
    <w:name w:val="1名"/>
    <w:basedOn w:val="894"/>
    <w:qFormat/>
    <w:pPr>
      <w:numPr>
        <w:numId w:val="5"/>
      </w:numPr>
      <w:jc w:val="both"/>
      <w:spacing w:before="120"/>
      <w:widowControl w:val="off"/>
      <w:tabs>
        <w:tab w:val="left" w:pos="360" w:leader="none"/>
      </w:tabs>
    </w:pPr>
    <w:rPr>
      <w:rFonts w:hAnsi="Times New Roman" w:cs="Times New Roman"/>
      <w:sz w:val="28"/>
      <w:szCs w:val="20"/>
    </w:rPr>
  </w:style>
  <w:style w:type="paragraph" w:styleId="1051" w:customStyle="1">
    <w:name w:val="font9"/>
    <w:basedOn w:val="894"/>
    <w:qFormat/>
    <w:pPr>
      <w:spacing w:before="100" w:beforeAutospacing="1" w:after="100" w:afterAutospacing="1"/>
    </w:pPr>
    <w:rPr>
      <w:rFonts w:hint="eastAsia" w:cs="Arial Unicode MS"/>
      <w:color w:val="000000"/>
      <w:sz w:val="20"/>
      <w:szCs w:val="20"/>
    </w:rPr>
  </w:style>
  <w:style w:type="paragraph" w:styleId="1052" w:customStyle="1">
    <w:name w:val="Char Char Char1 Char1"/>
    <w:basedOn w:val="894"/>
    <w:qFormat/>
    <w:pPr>
      <w:jc w:val="both"/>
      <w:widowControl w:val="off"/>
    </w:pPr>
    <w:rPr>
      <w:rFonts w:ascii="Tahoma" w:hAnsi="Tahoma" w:cs="Times New Roman"/>
      <w:szCs w:val="20"/>
    </w:rPr>
  </w:style>
  <w:style w:type="paragraph" w:styleId="1053" w:customStyle="1">
    <w:name w:val="Char Char Char Char Char Char Char Char Char Char"/>
    <w:basedOn w:val="894"/>
    <w:qFormat/>
    <w:pPr>
      <w:jc w:val="both"/>
      <w:widowControl w:val="off"/>
    </w:pPr>
    <w:rPr>
      <w:rFonts w:ascii="Times New Roman" w:hAnsi="Times New Roman" w:cs="Times New Roman"/>
      <w:sz w:val="21"/>
    </w:rPr>
  </w:style>
  <w:style w:type="paragraph" w:styleId="1054" w:customStyle="1">
    <w:name w:val="Char Char1 Char Char Char Char Char Char Char Char"/>
    <w:basedOn w:val="894"/>
    <w:qFormat/>
    <w:pPr>
      <w:spacing w:after="160" w:line="240" w:lineRule="exact"/>
    </w:pPr>
    <w:rPr>
      <w:rFonts w:ascii="Verdana" w:hAnsi="Verdana" w:cs="Times New Roman"/>
      <w:sz w:val="20"/>
      <w:szCs w:val="20"/>
      <w:lang w:eastAsia="en-US"/>
    </w:rPr>
  </w:style>
  <w:style w:type="paragraph" w:styleId="1055" w:customStyle="1">
    <w:name w:val="Char1"/>
    <w:basedOn w:val="894"/>
    <w:qFormat/>
    <w:pPr>
      <w:jc w:val="both"/>
      <w:widowControl w:val="off"/>
      <w:tabs>
        <w:tab w:val="left" w:pos="360" w:leader="none"/>
      </w:tabs>
    </w:pPr>
    <w:rPr>
      <w:rFonts w:ascii="Times New Roman" w:hAnsi="Times New Roman" w:cs="Times New Roman"/>
    </w:rPr>
  </w:style>
  <w:style w:type="paragraph" w:styleId="1056" w:customStyle="1">
    <w:name w:val="正文列项_字母"/>
    <w:basedOn w:val="894"/>
    <w:qFormat/>
    <w:pPr>
      <w:numPr>
        <w:ilvl w:val="6"/>
        <w:numId w:val="1"/>
      </w:numPr>
      <w:ind w:left="480" w:hanging="180"/>
      <w:jc w:val="both"/>
      <w:spacing w:line="460" w:lineRule="exact"/>
      <w:widowControl w:val="off"/>
      <w:tabs>
        <w:tab w:val="clear" w:pos="635" w:leader="none"/>
      </w:tabs>
      <w:outlineLvl w:val="6"/>
    </w:pPr>
    <w:rPr>
      <w:rFonts w:hAnsi="Times New Roman" w:cs="Times New Roman"/>
      <w:sz w:val="28"/>
      <w:szCs w:val="20"/>
    </w:rPr>
  </w:style>
  <w:style w:type="paragraph" w:styleId="1057" w:customStyle="1">
    <w:name w:val="xl28"/>
    <w:basedOn w:val="894"/>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058" w:customStyle="1">
    <w:name w:val="xl47"/>
    <w:basedOn w:val="894"/>
    <w:qFormat/>
    <w:pPr>
      <w:spacing w:before="100" w:beforeAutospacing="1" w:after="100" w:afterAutospacing="1"/>
      <w:pBdr>
        <w:top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059" w:customStyle="1">
    <w:name w:val="默认段落字体 Para Char Char Char Char"/>
    <w:basedOn w:val="894"/>
    <w:qFormat/>
    <w:pPr>
      <w:jc w:val="both"/>
      <w:widowControl w:val="off"/>
    </w:pPr>
    <w:rPr>
      <w:rFonts w:ascii="Arial" w:hAnsi="Arial" w:cs="Arial"/>
      <w:sz w:val="21"/>
      <w:szCs w:val="21"/>
    </w:rPr>
  </w:style>
  <w:style w:type="paragraph" w:styleId="1060" w:customStyle="1">
    <w:name w:val="xl48"/>
    <w:basedOn w:val="894"/>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2"/>
      <w:szCs w:val="22"/>
    </w:rPr>
  </w:style>
  <w:style w:type="paragraph" w:styleId="1061" w:customStyle="1">
    <w:name w:val="xl31"/>
    <w:basedOn w:val="894"/>
    <w:qFormat/>
    <w:pPr>
      <w:jc w:val="both"/>
      <w:spacing w:before="100" w:beforeAutospacing="1" w:after="100" w:afterAutospacing="1"/>
      <w:pBdr>
        <w:top w:val="single" w:color="auto" w:sz="4" w:space="0"/>
        <w:left w:val="single" w:color="auto" w:sz="4" w:space="0"/>
        <w:bottom w:val="single" w:color="auto" w:sz="4" w:space="0"/>
        <w:right w:val="single" w:color="auto" w:sz="4" w:space="0"/>
      </w:pBdr>
    </w:pPr>
    <w:rPr>
      <w:rFonts w:ascii="Times New Roman" w:hAnsi="Times New Roman" w:eastAsia="Arial Unicode MS" w:cs="Times New Roman"/>
      <w:color w:val="000000"/>
      <w:sz w:val="20"/>
      <w:szCs w:val="20"/>
    </w:rPr>
  </w:style>
  <w:style w:type="paragraph" w:styleId="1062" w:customStyle="1">
    <w:name w:val="xl53"/>
    <w:basedOn w:val="894"/>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063" w:customStyle="1">
    <w:name w:val="Char Char Char"/>
    <w:basedOn w:val="894"/>
    <w:qFormat/>
    <w:pPr>
      <w:jc w:val="both"/>
      <w:widowControl w:val="off"/>
    </w:pPr>
    <w:rPr>
      <w:rFonts w:ascii="Tahoma" w:hAnsi="Tahoma" w:cs="Times New Roman"/>
      <w:szCs w:val="20"/>
    </w:rPr>
  </w:style>
  <w:style w:type="paragraph" w:styleId="1064" w:customStyle="1">
    <w:name w:val="xl50"/>
    <w:basedOn w:val="894"/>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32"/>
      <w:szCs w:val="32"/>
    </w:rPr>
  </w:style>
  <w:style w:type="paragraph" w:styleId="1065" w:customStyle="1">
    <w:name w:val="缺省文本"/>
    <w:basedOn w:val="894"/>
    <w:qFormat/>
    <w:pPr>
      <w:widowControl w:val="off"/>
    </w:pPr>
    <w:rPr>
      <w:rFonts w:ascii="Times New Roman" w:hAnsi="Times New Roman" w:cs="Times New Roman"/>
    </w:rPr>
  </w:style>
  <w:style w:type="paragraph" w:styleId="1066" w:customStyle="1">
    <w:name w:val="Char Char Char1"/>
    <w:basedOn w:val="894"/>
    <w:qFormat/>
    <w:pPr>
      <w:jc w:val="both"/>
      <w:widowControl w:val="off"/>
    </w:pPr>
    <w:rPr>
      <w:rFonts w:ascii="Tahoma" w:hAnsi="Tahoma" w:cs="Times New Roman"/>
      <w:szCs w:val="20"/>
    </w:rPr>
  </w:style>
  <w:style w:type="paragraph" w:styleId="1067" w:customStyle="1">
    <w:name w:val="Char Char Char Char Char Char Char1"/>
    <w:basedOn w:val="894"/>
    <w:qFormat/>
    <w:pPr>
      <w:ind w:firstLine="200"/>
      <w:jc w:val="both"/>
      <w:spacing w:line="360" w:lineRule="auto"/>
      <w:widowControl w:val="off"/>
    </w:pPr>
    <w:rPr>
      <w:rFonts w:ascii="Times New Roman" w:hAnsi="Times New Roman" w:eastAsia="仿宋_GB2312" w:cs="Times New Roman"/>
    </w:rPr>
  </w:style>
  <w:style w:type="paragraph" w:styleId="1068" w:customStyle="1">
    <w:name w:val="xl51"/>
    <w:basedOn w:val="894"/>
    <w:qFormat/>
    <w:pPr>
      <w:jc w:val="both"/>
      <w:spacing w:before="100" w:beforeAutospacing="1" w:after="100" w:afterAutospacing="1"/>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069" w:customStyle="1">
    <w:name w:val="样式2"/>
    <w:basedOn w:val="958"/>
    <w:qFormat/>
    <w:pPr>
      <w:jc w:val="center"/>
      <w:spacing w:line="360" w:lineRule="auto"/>
    </w:pPr>
    <w:rPr>
      <w:sz w:val="24"/>
    </w:rPr>
  </w:style>
  <w:style w:type="paragraph" w:styleId="1070" w:customStyle="1">
    <w:name w:val="xl24"/>
    <w:basedOn w:val="894"/>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071" w:customStyle="1">
    <w:name w:val="xl29"/>
    <w:basedOn w:val="894"/>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Times New Roman" w:hAnsi="Times New Roman" w:cs="Times New Roman"/>
      <w:sz w:val="20"/>
      <w:szCs w:val="20"/>
    </w:rPr>
  </w:style>
  <w:style w:type="paragraph" w:styleId="1072" w:customStyle="1">
    <w:name w:val="正文 + 楷体_GB2312"/>
    <w:basedOn w:val="894"/>
    <w:qFormat/>
    <w:rPr>
      <w:rFonts w:ascii="楷体_GB2312" w:hAnsi="Times New Roman" w:eastAsia="楷体_GB2312" w:cs="Arial"/>
    </w:rPr>
  </w:style>
  <w:style w:type="paragraph" w:styleId="1073" w:customStyle="1">
    <w:name w:val="xl34"/>
    <w:basedOn w:val="894"/>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Times New Roman" w:hAnsi="Times New Roman" w:cs="Times New Roman"/>
      <w:color w:val="ff6600"/>
      <w:sz w:val="20"/>
      <w:szCs w:val="20"/>
    </w:rPr>
  </w:style>
  <w:style w:type="paragraph" w:styleId="1074" w:customStyle="1">
    <w:name w:val="1 Char Char Char Char"/>
    <w:basedOn w:val="894"/>
    <w:qFormat/>
    <w:pPr>
      <w:jc w:val="both"/>
      <w:widowControl w:val="off"/>
    </w:pPr>
    <w:rPr>
      <w:rFonts w:ascii="Tahoma" w:hAnsi="Tahoma" w:cs="Times New Roman"/>
      <w:szCs w:val="20"/>
    </w:rPr>
  </w:style>
  <w:style w:type="paragraph" w:styleId="1075" w:customStyle="1">
    <w:name w:val="列出段落1"/>
    <w:basedOn w:val="894"/>
    <w:qFormat/>
    <w:pPr>
      <w:ind w:firstLine="420"/>
      <w:jc w:val="both"/>
      <w:widowControl w:val="off"/>
    </w:pPr>
    <w:rPr>
      <w:rFonts w:ascii="Calibri" w:hAnsi="Calibri" w:cs="Times New Roman"/>
      <w:sz w:val="21"/>
      <w:szCs w:val="22"/>
    </w:rPr>
  </w:style>
  <w:style w:type="paragraph" w:styleId="1076" w:customStyle="1">
    <w:name w:val="default"/>
    <w:basedOn w:val="894"/>
    <w:qFormat/>
    <w:pPr>
      <w:spacing w:before="100" w:beforeAutospacing="1" w:after="100" w:afterAutospacing="1"/>
    </w:pPr>
  </w:style>
  <w:style w:type="paragraph" w:styleId="1077" w:customStyle="1">
    <w:name w:val="字元 字元1"/>
    <w:basedOn w:val="894"/>
    <w:qFormat/>
    <w:pPr>
      <w:jc w:val="both"/>
      <w:widowControl w:val="off"/>
    </w:pPr>
    <w:rPr>
      <w:rFonts w:ascii="Tahoma" w:hAnsi="Tahoma" w:cs="Times New Roman"/>
      <w:szCs w:val="20"/>
    </w:rPr>
  </w:style>
  <w:style w:type="paragraph" w:styleId="1078" w:customStyle="1">
    <w:name w:val="_Style 160"/>
    <w:qFormat/>
    <w:rPr>
      <w:sz w:val="21"/>
      <w:szCs w:val="24"/>
    </w:rPr>
  </w:style>
  <w:style w:type="paragraph" w:styleId="1079" w:customStyle="1">
    <w:name w:val="项目编号3"/>
    <w:basedOn w:val="1040"/>
    <w:qFormat/>
    <w:pPr>
      <w:numPr>
        <w:numId w:val="6"/>
      </w:numPr>
    </w:pPr>
  </w:style>
  <w:style w:type="paragraph" w:styleId="1080" w:customStyle="1">
    <w:name w:val="Char21"/>
    <w:basedOn w:val="894"/>
    <w:qFormat/>
    <w:pPr>
      <w:jc w:val="both"/>
      <w:widowControl w:val="off"/>
    </w:pPr>
    <w:rPr>
      <w:rFonts w:ascii="Tahoma" w:hAnsi="Tahoma" w:cs="Times New Roman"/>
      <w:szCs w:val="20"/>
    </w:rPr>
  </w:style>
  <w:style w:type="paragraph" w:styleId="1081" w:customStyle="1">
    <w:name w:val="表格文字"/>
    <w:basedOn w:val="929"/>
    <w:qFormat/>
    <w:pPr>
      <w:ind w:firstLine="0"/>
      <w:spacing w:before="20" w:after="20" w:line="240" w:lineRule="auto"/>
    </w:pPr>
    <w:rPr>
      <w:rFonts w:ascii="Century Gothic" w:hAnsi="Century Gothic"/>
      <w:sz w:val="20"/>
      <w:szCs w:val="20"/>
    </w:rPr>
  </w:style>
  <w:style w:type="paragraph" w:styleId="1082" w:customStyle="1">
    <w:name w:val="Char Char Char Char Char Char Char Char Char Char1"/>
    <w:basedOn w:val="894"/>
    <w:qFormat/>
    <w:pPr>
      <w:jc w:val="both"/>
      <w:widowControl w:val="off"/>
    </w:pPr>
    <w:rPr>
      <w:rFonts w:cs="Courier New"/>
      <w:sz w:val="32"/>
      <w:szCs w:val="32"/>
    </w:rPr>
  </w:style>
  <w:style w:type="paragraph" w:styleId="1083" w:customStyle="1">
    <w:name w:val="正文文本样式 加粗"/>
    <w:basedOn w:val="1040"/>
    <w:qFormat/>
    <w:rPr>
      <w:b/>
    </w:rPr>
  </w:style>
  <w:style w:type="paragraph" w:styleId="1084" w:customStyle="1">
    <w:name w:val="Char2 Char Char Char Char Char Char"/>
    <w:basedOn w:val="894"/>
    <w:qFormat/>
    <w:pPr>
      <w:jc w:val="center"/>
      <w:spacing w:line="400" w:lineRule="exact"/>
    </w:pPr>
    <w:rPr>
      <w:rFonts w:ascii="Times New Roman" w:hAnsi="Times New Roman" w:cs="Times New Roman"/>
      <w:sz w:val="21"/>
    </w:rPr>
  </w:style>
  <w:style w:type="paragraph" w:styleId="1085" w:customStyle="1">
    <w:name w:val="Char Char4"/>
    <w:basedOn w:val="894"/>
    <w:qFormat/>
    <w:pPr>
      <w:jc w:val="center"/>
      <w:spacing w:line="400" w:lineRule="exact"/>
    </w:pPr>
    <w:rPr>
      <w:rFonts w:ascii="Times New Roman" w:hAnsi="Times New Roman" w:cs="Times New Roman"/>
      <w:sz w:val="21"/>
    </w:rPr>
  </w:style>
  <w:style w:type="paragraph" w:styleId="1086" w:customStyle="1">
    <w:name w:val="Char3 Char Char Char1"/>
    <w:basedOn w:val="894"/>
    <w:qFormat/>
    <w:pPr>
      <w:jc w:val="both"/>
      <w:widowControl w:val="off"/>
    </w:pPr>
    <w:rPr>
      <w:rFonts w:ascii="Tahoma" w:hAnsi="Tahoma" w:cs="Times New Roman"/>
      <w:szCs w:val="20"/>
    </w:rPr>
  </w:style>
  <w:style w:type="paragraph" w:styleId="1087">
    <w:name w:val="No Spacing"/>
    <w:qFormat/>
    <w:pPr>
      <w:jc w:val="both"/>
      <w:widowControl w:val="off"/>
    </w:pPr>
    <w:rPr>
      <w:sz w:val="21"/>
      <w:szCs w:val="24"/>
    </w:rPr>
  </w:style>
  <w:style w:type="paragraph" w:styleId="1088" w:customStyle="1">
    <w:name w:val="22222222222222"/>
    <w:basedOn w:val="894"/>
    <w:qFormat/>
    <w:pPr>
      <w:ind w:firstLine="480"/>
      <w:spacing w:line="360" w:lineRule="auto"/>
    </w:pPr>
    <w:rPr>
      <w:rFonts w:ascii="Times New Roman" w:hAnsi="Times New Roman" w:cs="Times New Roman"/>
      <w:color w:val="ff0000"/>
      <w:szCs w:val="20"/>
    </w:rPr>
  </w:style>
  <w:style w:type="character" w:styleId="1089" w:customStyle="1">
    <w:name w:val="中等深浅网格 1 - 强调文字颜色 2 Char"/>
    <w:link w:val="1090"/>
    <w:qFormat/>
    <w:rPr>
      <w:sz w:val="21"/>
      <w:szCs w:val="24"/>
      <w:lang w:val="zh-CN" w:eastAsia="zh-CN" w:bidi="ar-SA"/>
    </w:rPr>
  </w:style>
  <w:style w:type="paragraph" w:styleId="1090" w:customStyle="1">
    <w:name w:val="1"/>
    <w:link w:val="1089"/>
    <w:qFormat/>
    <w:rPr>
      <w:sz w:val="21"/>
      <w:szCs w:val="24"/>
      <w:lang w:val="zh-CN"/>
    </w:rPr>
  </w:style>
  <w:style w:type="paragraph" w:styleId="1091" w:customStyle="1">
    <w:name w:val="图文"/>
    <w:basedOn w:val="894"/>
    <w:qFormat/>
    <w:pPr>
      <w:jc w:val="both"/>
      <w:spacing w:after="50" w:line="360" w:lineRule="auto"/>
      <w:widowControl w:val="off"/>
    </w:pPr>
    <w:rPr>
      <w:rFonts w:ascii="Times New Roman" w:hAnsi="Times New Roman" w:cs="Times New Roman"/>
    </w:rPr>
  </w:style>
  <w:style w:type="paragraph" w:styleId="1092" w:customStyle="1">
    <w:name w:val="xl23"/>
    <w:basedOn w:val="894"/>
    <w:qFormat/>
    <w:pPr>
      <w:jc w:val="both"/>
      <w:spacing w:before="100" w:beforeAutospacing="1" w:after="100" w:afterAutospacing="1" w:line="360" w:lineRule="auto"/>
    </w:pPr>
    <w:rPr>
      <w:rFonts w:ascii="Times New Roman" w:hAnsi="Times New Roman" w:cs="Times New Roman"/>
      <w:szCs w:val="20"/>
    </w:rPr>
  </w:style>
  <w:style w:type="paragraph" w:styleId="1093" w:customStyle="1">
    <w:name w:val="正文表格"/>
    <w:basedOn w:val="894"/>
    <w:link w:val="1094"/>
    <w:qFormat/>
    <w:pPr>
      <w:widowControl w:val="off"/>
    </w:pPr>
    <w:rPr>
      <w:rFonts w:cs="Times New Roman"/>
      <w:color w:val="000000"/>
      <w:sz w:val="21"/>
      <w:szCs w:val="21"/>
    </w:rPr>
  </w:style>
  <w:style w:type="character" w:styleId="1094" w:customStyle="1">
    <w:name w:val="正文表格 Char"/>
    <w:link w:val="1093"/>
    <w:qFormat/>
    <w:rPr>
      <w:rFonts w:ascii="宋体" w:hAnsi="宋体"/>
      <w:color w:val="000000"/>
      <w:sz w:val="21"/>
      <w:szCs w:val="21"/>
    </w:rPr>
  </w:style>
  <w:style w:type="paragraph" w:styleId="1095" w:customStyle="1">
    <w:name w:val="正文重点"/>
    <w:basedOn w:val="894"/>
    <w:link w:val="1096"/>
    <w:qFormat/>
    <w:pPr>
      <w:ind w:firstLine="482"/>
      <w:spacing w:line="360" w:lineRule="auto"/>
      <w:widowControl w:val="off"/>
    </w:pPr>
    <w:rPr>
      <w:rFonts w:ascii="Times New Roman" w:hAnsi="Times New Roman" w:cs="Times New Roman"/>
      <w:b/>
      <w:szCs w:val="20"/>
    </w:rPr>
  </w:style>
  <w:style w:type="character" w:styleId="1096" w:customStyle="1">
    <w:name w:val="正文重点 Char"/>
    <w:link w:val="1095"/>
    <w:qFormat/>
    <w:rPr>
      <w:b/>
      <w:sz w:val="24"/>
    </w:rPr>
  </w:style>
  <w:style w:type="paragraph" w:styleId="1097" w:customStyle="1">
    <w:name w:val="标题1-附件"/>
    <w:basedOn w:val="895"/>
    <w:qFormat/>
    <w:pPr>
      <w:jc w:val="left"/>
    </w:pPr>
    <w:rPr>
      <w:sz w:val="24"/>
      <w:szCs w:val="24"/>
    </w:rPr>
  </w:style>
  <w:style w:type="paragraph" w:styleId="1098" w:customStyle="1">
    <w:name w:val="正文小标题"/>
    <w:basedOn w:val="894"/>
    <w:next w:val="910"/>
    <w:link w:val="1099"/>
    <w:qFormat/>
    <w:pPr>
      <w:ind w:firstLine="482"/>
      <w:spacing w:before="312" w:after="312"/>
      <w:widowControl w:val="off"/>
    </w:pPr>
    <w:rPr>
      <w:rFonts w:cs="Times New Roman"/>
      <w:b/>
      <w:i/>
      <w:color w:val="ff0000"/>
      <w:szCs w:val="20"/>
    </w:rPr>
  </w:style>
  <w:style w:type="character" w:styleId="1099" w:customStyle="1">
    <w:name w:val="正文小标题 Char"/>
    <w:link w:val="1098"/>
    <w:qFormat/>
    <w:rPr>
      <w:rFonts w:ascii="宋体" w:hAnsi="宋体"/>
      <w:b/>
      <w:i/>
      <w:color w:val="ff0000"/>
      <w:sz w:val="24"/>
    </w:rPr>
  </w:style>
  <w:style w:type="paragraph" w:styleId="1100" w:customStyle="1">
    <w:name w:val="正文大标题"/>
    <w:basedOn w:val="1098"/>
    <w:next w:val="910"/>
    <w:link w:val="1101"/>
    <w:qFormat/>
    <w:pPr>
      <w:jc w:val="center"/>
    </w:pPr>
    <w:rPr>
      <w:i w:val="0"/>
      <w:color w:val="000000"/>
      <w:sz w:val="28"/>
      <w:szCs w:val="21"/>
    </w:rPr>
  </w:style>
  <w:style w:type="character" w:styleId="1101" w:customStyle="1">
    <w:name w:val="正文大标题 Char"/>
    <w:link w:val="1100"/>
    <w:qFormat/>
    <w:rPr>
      <w:rFonts w:ascii="宋体" w:hAnsi="宋体"/>
      <w:b/>
      <w:color w:val="000000"/>
      <w:sz w:val="28"/>
      <w:szCs w:val="21"/>
    </w:rPr>
  </w:style>
  <w:style w:type="paragraph" w:styleId="1102" w:customStyle="1">
    <w:name w:val="注释"/>
    <w:basedOn w:val="894"/>
    <w:link w:val="1103"/>
    <w:qFormat/>
    <w:pPr>
      <w:ind w:left="420" w:hanging="420"/>
      <w:widowControl w:val="off"/>
    </w:pPr>
    <w:rPr>
      <w:rFonts w:cs="Times New Roman"/>
      <w:sz w:val="21"/>
      <w:szCs w:val="21"/>
    </w:rPr>
  </w:style>
  <w:style w:type="character" w:styleId="1103" w:customStyle="1">
    <w:name w:val="注释 Char"/>
    <w:link w:val="1102"/>
    <w:qFormat/>
    <w:rPr>
      <w:rFonts w:ascii="宋体" w:hAnsi="宋体"/>
      <w:sz w:val="21"/>
      <w:szCs w:val="21"/>
    </w:rPr>
  </w:style>
  <w:style w:type="paragraph" w:styleId="1104" w:customStyle="1">
    <w:name w:val="正文须知-1级"/>
    <w:basedOn w:val="894"/>
    <w:next w:val="894"/>
    <w:qFormat/>
    <w:pPr>
      <w:numPr>
        <w:numId w:val="7"/>
      </w:numPr>
      <w:jc w:val="both"/>
      <w:spacing w:line="300" w:lineRule="auto"/>
      <w:widowControl w:val="off"/>
    </w:pPr>
    <w:rPr>
      <w:rFonts w:hAnsi="Calibri" w:cs="Times New Roman"/>
      <w:szCs w:val="21"/>
    </w:rPr>
  </w:style>
  <w:style w:type="paragraph" w:styleId="1105" w:customStyle="1">
    <w:name w:val="正文须知-2级"/>
    <w:basedOn w:val="894"/>
    <w:qFormat/>
    <w:pPr>
      <w:numPr>
        <w:ilvl w:val="1"/>
        <w:numId w:val="7"/>
      </w:numPr>
      <w:jc w:val="both"/>
      <w:spacing w:line="300" w:lineRule="auto"/>
      <w:widowControl w:val="off"/>
    </w:pPr>
    <w:rPr>
      <w:rFonts w:hAnsi="Calibri" w:cs="Times New Roman"/>
      <w:szCs w:val="21"/>
    </w:rPr>
  </w:style>
  <w:style w:type="paragraph" w:styleId="1106" w:customStyle="1">
    <w:name w:val="正文须知-3级"/>
    <w:basedOn w:val="894"/>
    <w:qFormat/>
    <w:pPr>
      <w:numPr>
        <w:ilvl w:val="2"/>
        <w:numId w:val="7"/>
      </w:numPr>
      <w:ind w:hanging="355"/>
      <w:jc w:val="both"/>
      <w:spacing w:line="300" w:lineRule="auto"/>
      <w:widowControl w:val="off"/>
    </w:pPr>
    <w:rPr>
      <w:rFonts w:hAnsi="Calibri" w:cs="Times New Roman"/>
      <w:szCs w:val="21"/>
    </w:rPr>
  </w:style>
  <w:style w:type="character" w:styleId="1107" w:customStyle="1">
    <w:name w:val="纯文本 字符"/>
    <w:uiPriority w:val="99"/>
    <w:qFormat/>
    <w:rPr>
      <w:rFonts w:ascii="宋体" w:hAnsi="Courier New" w:eastAsia="宋体" w:cs="Times New Roman"/>
      <w:sz w:val="21"/>
      <w:szCs w:val="21"/>
      <w:lang w:val="en-US" w:eastAsia="zh-CN" w:bidi="ar-SA"/>
    </w:rPr>
  </w:style>
  <w:style w:type="paragraph" w:styleId="1108" w:customStyle="1">
    <w:name w:val="表格1"/>
    <w:basedOn w:val="894"/>
    <w:qFormat/>
    <w:pPr>
      <w:ind w:firstLine="480"/>
      <w:jc w:val="center"/>
      <w:widowControl w:val="off"/>
    </w:pPr>
    <w:rPr>
      <w:rFonts w:ascii="Times New Roman" w:hAnsi="Times New Roman" w:cs="Times New Roman"/>
      <w:szCs w:val="20"/>
    </w:rPr>
  </w:style>
  <w:style w:type="character" w:styleId="1109" w:customStyle="1">
    <w:name w:val="纯文本 字符1"/>
    <w:uiPriority w:val="99"/>
    <w:qFormat/>
    <w:rPr>
      <w:rFonts w:ascii="宋体" w:hAnsi="Courier New"/>
    </w:rPr>
  </w:style>
  <w:style w:type="character" w:styleId="1110" w:customStyle="1">
    <w:name w:val="bjh-p"/>
    <w:qFormat/>
  </w:style>
  <w:style w:type="paragraph" w:styleId="1111" w:customStyle="1">
    <w:name w:val="无标题条"/>
    <w:next w:val="894"/>
    <w:qFormat/>
    <w:pPr>
      <w:jc w:val="both"/>
    </w:pPr>
    <w:rPr>
      <w:sz w:val="21"/>
    </w:rPr>
  </w:style>
  <w:style w:type="character" w:styleId="1112" w:customStyle="1">
    <w:name w:val="正文格式 Char"/>
    <w:link w:val="1113"/>
    <w:qFormat/>
    <w:rPr>
      <w:rFonts w:ascii="宋体" w:hAnsi="宋体"/>
      <w:sz w:val="24"/>
      <w:szCs w:val="24"/>
      <w:lang w:val="en-GB"/>
    </w:rPr>
  </w:style>
  <w:style w:type="paragraph" w:styleId="1113" w:customStyle="1">
    <w:name w:val="正文格式"/>
    <w:basedOn w:val="894"/>
    <w:link w:val="1112"/>
    <w:qFormat/>
    <w:pPr>
      <w:ind w:firstLine="480"/>
      <w:jc w:val="both"/>
      <w:spacing w:line="360" w:lineRule="auto"/>
      <w:widowControl w:val="off"/>
    </w:pPr>
    <w:rPr>
      <w:rFonts w:cs="Times New Roman"/>
      <w:lang w:val="en-GB"/>
    </w:rPr>
  </w:style>
  <w:style w:type="character" w:styleId="1114" w:customStyle="1">
    <w:name w:val="标题 3 Char"/>
    <w:qFormat/>
    <w:rPr>
      <w:rFonts w:ascii="宋体" w:eastAsia="宋体"/>
      <w:b/>
      <w:sz w:val="24"/>
      <w:u w:val="single"/>
      <w:lang w:val="en-US" w:eastAsia="zh-CN" w:bidi="ar-SA"/>
    </w:rPr>
  </w:style>
  <w:style w:type="character" w:styleId="1115" w:customStyle="1">
    <w:name w:val="正文缩进 Char"/>
    <w:qFormat/>
    <w:rPr>
      <w:rFonts w:ascii="宋体" w:eastAsia="宋体"/>
      <w:sz w:val="24"/>
      <w:szCs w:val="24"/>
      <w:lang w:val="en-US" w:eastAsia="zh-CN" w:bidi="ar-SA"/>
    </w:rPr>
  </w:style>
  <w:style w:type="character" w:styleId="1116" w:customStyle="1">
    <w:name w:val="Char Char111"/>
    <w:qFormat/>
    <w:rPr>
      <w:rFonts w:ascii="宋体" w:eastAsia="宋体"/>
      <w:b/>
      <w:sz w:val="24"/>
      <w:u w:val="single"/>
      <w:lang w:val="en-US" w:eastAsia="zh-CN" w:bidi="ar-SA"/>
    </w:rPr>
  </w:style>
  <w:style w:type="character" w:styleId="1117" w:customStyle="1">
    <w:name w:val="正文文本缩进 Char"/>
    <w:qFormat/>
    <w:rPr>
      <w:rFonts w:eastAsia="宋体"/>
      <w:sz w:val="24"/>
      <w:szCs w:val="24"/>
      <w:lang w:val="en-US" w:eastAsia="zh-CN" w:bidi="ar-SA"/>
    </w:rPr>
  </w:style>
  <w:style w:type="character" w:styleId="1118" w:customStyle="1">
    <w:name w:val="列出段落 Char"/>
    <w:qFormat/>
    <w:rPr>
      <w:rFonts w:ascii="Calibri" w:hAnsi="Calibri" w:eastAsia="宋体"/>
      <w:sz w:val="21"/>
      <w:szCs w:val="22"/>
      <w:lang w:val="en-US" w:eastAsia="zh-CN" w:bidi="ar-SA"/>
    </w:rPr>
  </w:style>
  <w:style w:type="character" w:styleId="1119" w:customStyle="1">
    <w:name w:val="页眉 Char"/>
    <w:qFormat/>
    <w:rPr>
      <w:rFonts w:eastAsia="宋体"/>
      <w:sz w:val="18"/>
      <w:szCs w:val="18"/>
      <w:lang w:val="en-US" w:eastAsia="zh-CN" w:bidi="ar-SA"/>
    </w:rPr>
  </w:style>
  <w:style w:type="character" w:styleId="1120" w:customStyle="1">
    <w:name w:val="标题 2 Char"/>
    <w:qFormat/>
    <w:rPr>
      <w:rFonts w:ascii="Arial" w:hAnsi="Arial" w:eastAsia="黑体"/>
      <w:b/>
      <w:sz w:val="30"/>
      <w:lang w:val="en-US" w:eastAsia="zh-CN" w:bidi="ar-SA"/>
    </w:rPr>
  </w:style>
  <w:style w:type="paragraph" w:styleId="1121" w:customStyle="1">
    <w:name w:val="字元 字元2"/>
    <w:basedOn w:val="894"/>
    <w:qFormat/>
    <w:pPr>
      <w:jc w:val="both"/>
      <w:widowControl w:val="off"/>
    </w:pPr>
    <w:rPr>
      <w:rFonts w:ascii="Tahoma" w:hAnsi="Tahoma" w:cs="Times New Roman"/>
      <w:szCs w:val="20"/>
    </w:rPr>
  </w:style>
  <w:style w:type="paragraph" w:styleId="1122" w:customStyle="1">
    <w:name w:val="Char3 Char Char Char2"/>
    <w:basedOn w:val="894"/>
    <w:qFormat/>
    <w:pPr>
      <w:jc w:val="both"/>
      <w:widowControl w:val="off"/>
    </w:pPr>
    <w:rPr>
      <w:rFonts w:ascii="Tahoma" w:hAnsi="Tahoma" w:cs="Times New Roman"/>
      <w:szCs w:val="20"/>
    </w:rPr>
  </w:style>
  <w:style w:type="paragraph" w:styleId="1123" w:customStyle="1">
    <w:name w:val="正文文本缩进2"/>
    <w:basedOn w:val="894"/>
    <w:qFormat/>
    <w:pPr>
      <w:ind w:firstLine="480"/>
      <w:jc w:val="both"/>
      <w:spacing w:line="480" w:lineRule="exact"/>
      <w:widowControl w:val="off"/>
    </w:pPr>
    <w:rPr>
      <w:rFonts w:cs="Times New Roman"/>
      <w:lang w:val="zh-CN"/>
    </w:rPr>
  </w:style>
  <w:style w:type="paragraph" w:styleId="1124" w:customStyle="1">
    <w:name w:val="Char3"/>
    <w:basedOn w:val="894"/>
    <w:qFormat/>
    <w:pPr>
      <w:jc w:val="both"/>
      <w:widowControl w:val="off"/>
      <w:tabs>
        <w:tab w:val="left" w:pos="360" w:leader="none"/>
      </w:tabs>
    </w:pPr>
    <w:rPr>
      <w:rFonts w:ascii="Times New Roman" w:hAnsi="Times New Roman" w:cs="Times New Roman"/>
    </w:rPr>
  </w:style>
  <w:style w:type="paragraph" w:styleId="1125" w:customStyle="1">
    <w:name w:val="Char Char Char Char Char Char Char Char Char Char Char Char Char Char Char Char1"/>
    <w:basedOn w:val="894"/>
    <w:qFormat/>
    <w:pPr>
      <w:jc w:val="center"/>
      <w:spacing w:after="160" w:line="240" w:lineRule="exact"/>
    </w:pPr>
    <w:rPr>
      <w:rFonts w:cs="Times New Roman"/>
      <w:b/>
      <w:sz w:val="30"/>
      <w:szCs w:val="30"/>
      <w:lang w:eastAsia="en-US"/>
    </w:rPr>
  </w:style>
  <w:style w:type="paragraph" w:styleId="1126" w:customStyle="1">
    <w:name w:val="Char Char1 Char Char Char Char Char Char1"/>
    <w:basedOn w:val="894"/>
    <w:qFormat/>
    <w:pPr>
      <w:spacing w:after="160" w:line="240" w:lineRule="exact"/>
    </w:pPr>
    <w:rPr>
      <w:rFonts w:ascii="Verdana" w:hAnsi="Verdana" w:eastAsia="仿宋_GB2312" w:cs="Times New Roman"/>
      <w:szCs w:val="20"/>
      <w:lang w:eastAsia="en-US"/>
    </w:rPr>
  </w:style>
  <w:style w:type="paragraph" w:styleId="1127" w:customStyle="1">
    <w:name w:val="列出段落2"/>
    <w:basedOn w:val="894"/>
    <w:qFormat/>
    <w:pPr>
      <w:ind w:firstLine="420"/>
      <w:jc w:val="both"/>
      <w:widowControl w:val="off"/>
    </w:pPr>
    <w:rPr>
      <w:rFonts w:ascii="Calibri" w:hAnsi="Calibri" w:cs="Times New Roman"/>
      <w:sz w:val="21"/>
      <w:szCs w:val="22"/>
    </w:rPr>
  </w:style>
  <w:style w:type="paragraph" w:styleId="1128" w:customStyle="1">
    <w:name w:val="Char Char Char1 Char2"/>
    <w:basedOn w:val="894"/>
    <w:qFormat/>
    <w:pPr>
      <w:jc w:val="both"/>
      <w:widowControl w:val="off"/>
    </w:pPr>
    <w:rPr>
      <w:rFonts w:ascii="Tahoma" w:hAnsi="Tahoma" w:cs="Times New Roman"/>
      <w:szCs w:val="20"/>
    </w:rPr>
  </w:style>
  <w:style w:type="paragraph" w:styleId="1129" w:customStyle="1">
    <w:name w:val="Char Char Char2"/>
    <w:basedOn w:val="894"/>
    <w:qFormat/>
    <w:pPr>
      <w:jc w:val="both"/>
      <w:widowControl w:val="off"/>
    </w:pPr>
    <w:rPr>
      <w:rFonts w:ascii="Tahoma" w:hAnsi="Tahoma" w:cs="Times New Roman"/>
      <w:szCs w:val="20"/>
    </w:rPr>
  </w:style>
  <w:style w:type="paragraph" w:styleId="1130" w:customStyle="1">
    <w:name w:val="Char Char Char Char Char Char Char2"/>
    <w:basedOn w:val="894"/>
    <w:qFormat/>
    <w:pPr>
      <w:ind w:firstLine="200"/>
      <w:jc w:val="both"/>
      <w:spacing w:line="360" w:lineRule="auto"/>
      <w:widowControl w:val="off"/>
    </w:pPr>
    <w:rPr>
      <w:rFonts w:ascii="Times New Roman" w:hAnsi="Times New Roman" w:eastAsia="仿宋_GB2312" w:cs="Times New Roman"/>
    </w:rPr>
  </w:style>
  <w:style w:type="paragraph" w:styleId="1131" w:customStyle="1">
    <w:name w:val="正文缩进2"/>
    <w:basedOn w:val="894"/>
    <w:qFormat/>
    <w:pPr>
      <w:ind w:firstLine="567"/>
      <w:jc w:val="both"/>
      <w:spacing w:line="480" w:lineRule="exact"/>
    </w:pPr>
    <w:rPr>
      <w:rFonts w:hAnsi="Times New Roman" w:cs="Times New Roman"/>
      <w:color w:val="000000"/>
      <w:sz w:val="28"/>
      <w:szCs w:val="20"/>
      <w:lang w:val="zh-CN"/>
    </w:rPr>
  </w:style>
  <w:style w:type="paragraph" w:styleId="1132" w:customStyle="1">
    <w:name w:val="修订1"/>
    <w:qFormat/>
    <w:rPr>
      <w:sz w:val="21"/>
      <w:szCs w:val="24"/>
    </w:rPr>
  </w:style>
  <w:style w:type="paragraph" w:styleId="1133" w:customStyle="1">
    <w:name w:val="Char22"/>
    <w:basedOn w:val="894"/>
    <w:qFormat/>
    <w:pPr>
      <w:jc w:val="both"/>
      <w:widowControl w:val="off"/>
    </w:pPr>
    <w:rPr>
      <w:rFonts w:ascii="Tahoma" w:hAnsi="Tahoma" w:cs="Times New Roman"/>
      <w:szCs w:val="20"/>
    </w:rPr>
  </w:style>
  <w:style w:type="paragraph" w:styleId="1134" w:customStyle="1">
    <w:name w:val="Char Char Char Char Char Char Char Char Char Char2"/>
    <w:basedOn w:val="894"/>
    <w:qFormat/>
    <w:pPr>
      <w:jc w:val="both"/>
      <w:widowControl w:val="off"/>
    </w:pPr>
    <w:rPr>
      <w:rFonts w:cs="Courier New"/>
      <w:sz w:val="32"/>
      <w:szCs w:val="32"/>
    </w:rPr>
  </w:style>
  <w:style w:type="paragraph" w:styleId="1135" w:customStyle="1">
    <w:name w:val="Char2 Char Char Char Char Char Char1"/>
    <w:basedOn w:val="894"/>
    <w:qFormat/>
    <w:pPr>
      <w:jc w:val="center"/>
      <w:spacing w:line="400" w:lineRule="exact"/>
    </w:pPr>
    <w:rPr>
      <w:rFonts w:ascii="Times New Roman" w:hAnsi="Times New Roman" w:cs="Times New Roman"/>
      <w:sz w:val="21"/>
    </w:rPr>
  </w:style>
  <w:style w:type="character" w:styleId="1136" w:customStyle="1">
    <w:name w:val="页脚 Char"/>
    <w:qFormat/>
    <w:rPr>
      <w:rFonts w:ascii="宋体" w:eastAsia="宋体"/>
      <w:sz w:val="18"/>
      <w:lang w:val="en-US" w:eastAsia="zh-CN" w:bidi="ar-SA"/>
    </w:rPr>
  </w:style>
  <w:style w:type="paragraph" w:styleId="1137" w:customStyle="1">
    <w:name w:val="Char Char41"/>
    <w:basedOn w:val="894"/>
    <w:qFormat/>
    <w:pPr>
      <w:jc w:val="center"/>
      <w:spacing w:line="400" w:lineRule="exact"/>
    </w:pPr>
    <w:rPr>
      <w:rFonts w:ascii="Times New Roman" w:hAnsi="Times New Roman" w:cs="Times New Roman"/>
      <w:sz w:val="21"/>
    </w:rPr>
  </w:style>
  <w:style w:type="character" w:styleId="1138" w:customStyle="1">
    <w:name w:val="批注文字 Char"/>
    <w:uiPriority w:val="99"/>
    <w:qFormat/>
    <w:rPr>
      <w:sz w:val="21"/>
      <w:szCs w:val="24"/>
    </w:rPr>
  </w:style>
  <w:style w:type="character" w:styleId="1139" w:customStyle="1">
    <w:name w:val="标题 Char"/>
    <w:qFormat/>
    <w:rPr>
      <w:b/>
      <w:sz w:val="32"/>
    </w:rPr>
  </w:style>
  <w:style w:type="paragraph" w:styleId="1140" w:customStyle="1">
    <w:name w:val="图例"/>
    <w:basedOn w:val="894"/>
    <w:qFormat/>
    <w:pPr>
      <w:jc w:val="center"/>
      <w:spacing w:before="120" w:after="120" w:line="360" w:lineRule="auto"/>
      <w:widowControl w:val="off"/>
    </w:pPr>
    <w:rPr>
      <w:rFonts w:ascii="Times New Roman" w:hAnsi="Times New Roman" w:eastAsia="仿宋_GB2312" w:cs="Times New Roman"/>
      <w:b/>
      <w:szCs w:val="20"/>
    </w:rPr>
  </w:style>
  <w:style w:type="table" w:styleId="1141" w:customStyle="1">
    <w:name w:val="Table Normal"/>
    <w:uiPriority w:val="2"/>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142" w:customStyle="1">
    <w:name w:val="Table Paragraph"/>
    <w:basedOn w:val="894"/>
    <w:uiPriority w:val="1"/>
    <w:qFormat/>
    <w:pPr>
      <w:widowControl w:val="off"/>
    </w:pPr>
    <w:rPr>
      <w:sz w:val="22"/>
      <w:szCs w:val="22"/>
      <w:lang w:eastAsia="en-US"/>
    </w:rPr>
  </w:style>
  <w:style w:type="paragraph" w:styleId="1143" w:customStyle="1">
    <w:name w:val="成文日期"/>
    <w:basedOn w:val="894"/>
    <w:link w:val="1144"/>
    <w:qFormat/>
    <w:pPr>
      <w:ind w:right="400" w:firstLine="200"/>
      <w:jc w:val="right"/>
      <w:spacing w:line="570" w:lineRule="exact"/>
      <w:widowControl w:val="off"/>
    </w:pPr>
    <w:rPr>
      <w:rFonts w:ascii="仿宋_GB2312" w:hAnsi="Times New Roman" w:eastAsia="仿宋_GB2312" w:cs="Times New Roman"/>
      <w:sz w:val="32"/>
      <w:szCs w:val="20"/>
    </w:rPr>
  </w:style>
  <w:style w:type="character" w:styleId="1144" w:customStyle="1">
    <w:name w:val="成文日期 Char"/>
    <w:link w:val="1143"/>
    <w:qFormat/>
    <w:rPr>
      <w:rFonts w:ascii="仿宋_GB2312" w:eastAsia="仿宋_GB2312"/>
      <w:sz w:val="32"/>
    </w:rPr>
  </w:style>
  <w:style w:type="paragraph" w:styleId="1145">
    <w:name w:val="Revision"/>
    <w:uiPriority w:val="99"/>
    <w:unhideWhenUsed/>
    <w:rPr>
      <w:sz w:val="21"/>
      <w:szCs w:val="24"/>
    </w:rPr>
  </w:style>
  <w:style w:type="paragraph" w:styleId="1146" w:customStyle="1">
    <w:name w:val="正文1"/>
    <w:basedOn w:val="894"/>
    <w:qFormat/>
    <w:pPr>
      <w:contextualSpacing/>
      <w:ind w:firstLine="200"/>
      <w:spacing w:before="120" w:after="120"/>
    </w:pPr>
    <w:rPr>
      <w:rFonts w:ascii="Calibri" w:hAnsi="Calibri" w:eastAsia="Adobe 仿宋 Std R" w:cs="Times New Roman"/>
      <w:sz w:val="20"/>
      <w:szCs w:val="21"/>
    </w:rPr>
  </w:style>
  <w:style w:type="character" w:styleId="1147" w:customStyle="1">
    <w:name w:val="材料标题 Char"/>
    <w:link w:val="1148"/>
    <w:qFormat/>
    <w:rPr>
      <w:rFonts w:ascii="方正小标宋简体" w:eastAsia="方正小标宋简体"/>
      <w:color w:val="000000"/>
      <w:sz w:val="44"/>
      <w:szCs w:val="44"/>
    </w:rPr>
  </w:style>
  <w:style w:type="paragraph" w:styleId="1148" w:customStyle="1">
    <w:name w:val="材料标题"/>
    <w:basedOn w:val="894"/>
    <w:link w:val="1147"/>
    <w:qFormat/>
    <w:pPr>
      <w:jc w:val="center"/>
      <w:spacing w:line="700" w:lineRule="exact"/>
      <w:widowControl w:val="off"/>
    </w:pPr>
    <w:rPr>
      <w:rFonts w:ascii="方正小标宋简体" w:hAnsi="Times New Roman" w:eastAsia="方正小标宋简体" w:cs="Times New Roman"/>
      <w:color w:val="000000"/>
      <w:sz w:val="44"/>
      <w:szCs w:val="44"/>
    </w:rPr>
  </w:style>
  <w:style w:type="character" w:styleId="1149">
    <w:name w:val="Unresolved Mention"/>
    <w:uiPriority w:val="99"/>
    <w:semiHidden/>
    <w:unhideWhenUsed/>
    <w:rPr>
      <w:color w:val="605e5c"/>
      <w:shd w:val="clear" w:color="auto" w:fill="e1dfdd"/>
    </w:rPr>
  </w:style>
  <w:style w:type="character" w:styleId="1150" w:customStyle="1">
    <w:name w:val="Default Char"/>
    <w:link w:val="907"/>
    <w:qFormat/>
    <w:rPr>
      <w:rFonts w:ascii="Symbol" w:hAnsi="Symbol" w:cs="Symbol"/>
      <w:color w:val="000000"/>
      <w:sz w:val="24"/>
      <w:szCs w:val="24"/>
    </w:rPr>
  </w:style>
  <w:style w:type="paragraph" w:styleId="1151">
    <w:name w:val="TOC Heading"/>
    <w:basedOn w:val="895"/>
    <w:next w:val="894"/>
    <w:uiPriority w:val="39"/>
    <w:unhideWhenUsed/>
    <w:qFormat/>
    <w:pPr>
      <w:jc w:val="left"/>
      <w:spacing w:after="0" w:line="259" w:lineRule="auto"/>
      <w:widowControl/>
      <w:outlineLvl w:val="9"/>
    </w:pPr>
    <w:rPr>
      <w:rFonts w:ascii="等线 Light" w:hAnsi="等线 Light" w:eastAsia="等线 Light"/>
      <w:b w:val="0"/>
      <w:color w:val="2f5496"/>
      <w:szCs w:val="32"/>
    </w:rPr>
  </w:style>
  <w:style w:type="character" w:styleId="1152" w:customStyle="1">
    <w:name w:val="页脚 字符"/>
    <w:basedOn w:val="904"/>
    <w:uiPriority w:val="99"/>
  </w:style>
  <w:style w:type="character" w:styleId="1153" w:customStyle="1">
    <w:name w:val="列表段落 字符"/>
    <w:link w:val="1154"/>
    <w:uiPriority w:val="34"/>
    <w:qFormat/>
    <w:rPr>
      <w:rFonts w:ascii="Calibri" w:hAnsi="Calibri"/>
    </w:rPr>
  </w:style>
  <w:style w:type="paragraph" w:styleId="1154" w:customStyle="1">
    <w:name w:val="列表段落1"/>
    <w:basedOn w:val="894"/>
    <w:link w:val="1153"/>
    <w:uiPriority w:val="34"/>
    <w:qFormat/>
    <w:pPr>
      <w:ind w:firstLine="420"/>
      <w:jc w:val="both"/>
      <w:widowControl w:val="off"/>
    </w:pPr>
    <w:rPr>
      <w:rFonts w:ascii="Calibri" w:hAnsi="Calibri" w:cs="Times New Roman"/>
      <w:sz w:val="20"/>
      <w:szCs w:val="20"/>
    </w:rPr>
  </w:style>
  <w:style w:type="paragraph" w:styleId="1155">
    <w:name w:val="toc 1"/>
    <w:basedOn w:val="894"/>
    <w:next w:val="894"/>
    <w:uiPriority w:val="39"/>
    <w:qFormat/>
    <w:pPr>
      <w:jc w:val="both"/>
      <w:widowControl w:val="off"/>
    </w:pPr>
    <w:rPr>
      <w:rFonts w:ascii="Times New Roman" w:hAnsi="Times New Roman" w:cs="Times New Roman"/>
      <w:sz w:val="21"/>
    </w:rPr>
  </w:style>
  <w:style w:type="paragraph" w:styleId="1156">
    <w:name w:val="toc 2"/>
    <w:basedOn w:val="894"/>
    <w:next w:val="894"/>
    <w:uiPriority w:val="39"/>
    <w:qFormat/>
    <w:pPr>
      <w:ind w:left="420"/>
      <w:jc w:val="both"/>
      <w:widowControl w:val="off"/>
    </w:pPr>
    <w:rPr>
      <w:rFonts w:ascii="Times New Roman" w:hAnsi="Times New Roman" w:cs="Times New Roman"/>
      <w:sz w:val="21"/>
    </w:rPr>
  </w:style>
  <w:style w:type="paragraph" w:styleId="1157">
    <w:name w:val="toc 3"/>
    <w:basedOn w:val="894"/>
    <w:next w:val="894"/>
    <w:uiPriority w:val="39"/>
    <w:qFormat/>
    <w:pPr>
      <w:ind w:left="840"/>
      <w:jc w:val="both"/>
      <w:widowControl w:val="off"/>
    </w:pPr>
    <w:rPr>
      <w:rFonts w:ascii="Times New Roman" w:hAnsi="Times New Roman" w:cs="Times New Roman"/>
      <w:sz w:val="21"/>
    </w:rPr>
  </w:style>
  <w:style w:type="paragraph" w:styleId="1158" w:customStyle="1">
    <w:name w:val="索引 41"/>
    <w:basedOn w:val="894"/>
    <w:next w:val="894"/>
    <w:semiHidden/>
    <w:qFormat/>
    <w:pPr>
      <w:ind w:left="1260"/>
      <w:jc w:val="both"/>
      <w:widowControl w:val="off"/>
    </w:pPr>
    <w:rPr>
      <w:rFonts w:ascii="Calibri" w:hAnsi="Calibri" w:eastAsia="Calibri"/>
      <w:sz w:val="20"/>
      <w:lang w:val="zh-CN"/>
    </w:rPr>
  </w:style>
  <w:style w:type="paragraph" w:styleId="1159" w:customStyle="1">
    <w:name w:val="msonormal"/>
    <w:basedOn w:val="894"/>
    <w:pPr>
      <w:spacing w:before="100" w:beforeAutospacing="1" w:after="100" w:afterAutospacing="1"/>
    </w:pPr>
  </w:style>
  <w:style w:type="paragraph" w:styleId="1160" w:customStyle="1">
    <w:name w:val="xl63"/>
    <w:basedOn w:val="894"/>
    <w:pPr>
      <w:jc w:val="center"/>
      <w:spacing w:before="100" w:beforeAutospacing="1" w:after="100" w:afterAutospacing="1"/>
      <w:pBdr>
        <w:top w:val="single" w:color="auto" w:sz="4" w:space="0"/>
        <w:left w:val="single" w:color="auto" w:sz="4" w:space="0"/>
        <w:bottom w:val="single" w:color="auto" w:sz="4" w:space="0"/>
        <w:right w:val="single" w:color="auto" w:sz="4" w:space="0"/>
      </w:pBdr>
    </w:pPr>
    <w:rPr>
      <w:b/>
      <w:bCs/>
    </w:rPr>
  </w:style>
  <w:style w:type="paragraph" w:styleId="1161" w:customStyle="1">
    <w:name w:val="xl64"/>
    <w:basedOn w:val="894"/>
    <w:pPr>
      <w:jc w:val="center"/>
      <w:spacing w:before="100" w:beforeAutospacing="1" w:after="100" w:afterAutospacing="1"/>
      <w:pBdr>
        <w:top w:val="single" w:color="auto" w:sz="4" w:space="0"/>
        <w:left w:val="single" w:color="auto" w:sz="4" w:space="0"/>
        <w:bottom w:val="single" w:color="auto" w:sz="4" w:space="0"/>
        <w:right w:val="single" w:color="auto" w:sz="4" w:space="0"/>
      </w:pBdr>
    </w:pPr>
    <w:rPr>
      <w:b/>
      <w:bCs/>
    </w:rPr>
  </w:style>
  <w:style w:type="paragraph" w:styleId="1162" w:customStyle="1">
    <w:name w:val="xl65"/>
    <w:basedOn w:val="894"/>
    <w:pPr>
      <w:jc w:val="center"/>
      <w:spacing w:before="100" w:beforeAutospacing="1" w:after="100" w:afterAutospacing="1"/>
    </w:pPr>
  </w:style>
  <w:style w:type="paragraph" w:styleId="1163" w:customStyle="1">
    <w:name w:val="xl66"/>
    <w:basedOn w:val="894"/>
    <w:pPr>
      <w:jc w:val="center"/>
      <w:spacing w:before="100" w:beforeAutospacing="1" w:after="100" w:afterAutospacing="1"/>
      <w:shd w:val="clear" w:color="000000" w:fill="ffff00"/>
      <w:pBdr>
        <w:top w:val="single" w:color="auto" w:sz="4" w:space="0"/>
        <w:left w:val="single" w:color="auto" w:sz="4" w:space="0"/>
        <w:bottom w:val="single" w:color="auto" w:sz="4" w:space="0"/>
        <w:right w:val="single" w:color="auto" w:sz="4" w:space="0"/>
      </w:pBdr>
    </w:pPr>
    <w:rPr>
      <w:b/>
      <w:bCs/>
      <w:sz w:val="22"/>
      <w:szCs w:val="22"/>
    </w:rPr>
  </w:style>
  <w:style w:type="paragraph" w:styleId="1164" w:customStyle="1">
    <w:name w:val="xl67"/>
    <w:basedOn w:val="894"/>
    <w:pPr>
      <w:spacing w:before="100" w:beforeAutospacing="1" w:after="100" w:afterAutospacing="1"/>
      <w:shd w:val="clear" w:color="000000" w:fill="ffff00"/>
      <w:pBdr>
        <w:top w:val="single" w:color="auto" w:sz="4" w:space="0"/>
        <w:left w:val="single" w:color="auto" w:sz="4" w:space="0"/>
        <w:bottom w:val="single" w:color="auto" w:sz="4" w:space="0"/>
        <w:right w:val="single" w:color="auto" w:sz="4" w:space="0"/>
      </w:pBdr>
    </w:pPr>
    <w:rPr>
      <w:b/>
      <w:bCs/>
      <w:sz w:val="22"/>
      <w:szCs w:val="22"/>
    </w:rPr>
  </w:style>
  <w:style w:type="paragraph" w:styleId="1165" w:customStyle="1">
    <w:name w:val="xl68"/>
    <w:basedOn w:val="894"/>
    <w:pPr>
      <w:jc w:val="center"/>
      <w:spacing w:before="100" w:beforeAutospacing="1" w:after="100" w:afterAutospacing="1"/>
      <w:shd w:val="clear" w:color="000000" w:fill="ffff00"/>
      <w:pBdr>
        <w:top w:val="single" w:color="auto" w:sz="4" w:space="0"/>
        <w:left w:val="single" w:color="auto" w:sz="4" w:space="0"/>
        <w:bottom w:val="single" w:color="auto" w:sz="4" w:space="0"/>
        <w:right w:val="single" w:color="auto" w:sz="4" w:space="0"/>
      </w:pBdr>
    </w:pPr>
    <w:rPr>
      <w:sz w:val="22"/>
      <w:szCs w:val="22"/>
    </w:rPr>
  </w:style>
  <w:style w:type="paragraph" w:styleId="1166" w:customStyle="1">
    <w:name w:val="xl69"/>
    <w:basedOn w:val="894"/>
    <w:pPr>
      <w:spacing w:before="100" w:beforeAutospacing="1" w:after="100" w:afterAutospacing="1"/>
      <w:shd w:val="clear" w:color="000000" w:fill="ffff00"/>
      <w:pBdr>
        <w:top w:val="single" w:color="auto" w:sz="4" w:space="0"/>
        <w:left w:val="single" w:color="auto" w:sz="4" w:space="0"/>
        <w:bottom w:val="single" w:color="auto" w:sz="4" w:space="0"/>
        <w:right w:val="single" w:color="auto" w:sz="4" w:space="0"/>
      </w:pBdr>
    </w:pPr>
    <w:rPr>
      <w:sz w:val="22"/>
      <w:szCs w:val="22"/>
    </w:rPr>
  </w:style>
  <w:style w:type="paragraph" w:styleId="1167" w:customStyle="1">
    <w:name w:val="xl70"/>
    <w:basedOn w:val="894"/>
    <w:pPr>
      <w:jc w:val="center"/>
      <w:spacing w:before="100" w:beforeAutospacing="1" w:after="100" w:afterAutospacing="1"/>
    </w:pPr>
  </w:style>
  <w:style w:type="paragraph" w:styleId="1168" w:customStyle="1">
    <w:name w:val="xl71"/>
    <w:basedOn w:val="894"/>
    <w:pPr>
      <w:jc w:val="center"/>
      <w:spacing w:before="100" w:beforeAutospacing="1" w:after="100" w:afterAutospacing="1"/>
      <w:pBdr>
        <w:top w:val="single" w:color="auto" w:sz="4" w:space="0"/>
        <w:left w:val="single" w:color="auto" w:sz="4" w:space="0"/>
        <w:bottom w:val="single" w:color="auto" w:sz="4" w:space="0"/>
        <w:right w:val="single" w:color="auto" w:sz="4" w:space="0"/>
      </w:pBdr>
    </w:pPr>
    <w:rPr>
      <w:sz w:val="22"/>
      <w:szCs w:val="22"/>
    </w:rPr>
  </w:style>
  <w:style w:type="paragraph" w:styleId="1169" w:customStyle="1">
    <w:name w:val="xl72"/>
    <w:basedOn w:val="894"/>
    <w:pPr>
      <w:jc w:val="center"/>
      <w:spacing w:before="100" w:beforeAutospacing="1" w:after="100" w:afterAutospacing="1"/>
      <w:pBdr>
        <w:top w:val="single" w:color="auto" w:sz="4" w:space="0"/>
        <w:left w:val="single" w:color="auto" w:sz="4" w:space="0"/>
        <w:bottom w:val="single" w:color="auto" w:sz="4" w:space="0"/>
        <w:right w:val="single" w:color="auto" w:sz="4" w:space="0"/>
      </w:pBdr>
    </w:pPr>
    <w:rPr>
      <w:sz w:val="22"/>
      <w:szCs w:val="22"/>
    </w:rPr>
  </w:style>
  <w:style w:type="paragraph" w:styleId="1170" w:customStyle="1">
    <w:name w:val="xl73"/>
    <w:basedOn w:val="894"/>
    <w:pPr>
      <w:spacing w:before="100" w:beforeAutospacing="1" w:after="100" w:afterAutospacing="1"/>
      <w:pBdr>
        <w:top w:val="single" w:color="auto" w:sz="4" w:space="0"/>
        <w:left w:val="single" w:color="auto" w:sz="4" w:space="0"/>
        <w:bottom w:val="single" w:color="auto" w:sz="4" w:space="0"/>
        <w:right w:val="single" w:color="auto" w:sz="4" w:space="0"/>
      </w:pBdr>
    </w:pPr>
    <w:rPr>
      <w:sz w:val="22"/>
      <w:szCs w:val="22"/>
    </w:rPr>
  </w:style>
  <w:style w:type="paragraph" w:styleId="1171" w:customStyle="1">
    <w:name w:val="xl74"/>
    <w:basedOn w:val="894"/>
    <w:pPr>
      <w:spacing w:before="100" w:beforeAutospacing="1" w:after="100" w:afterAutospacing="1"/>
      <w:shd w:val="clear" w:color="000000" w:fill="ffff00"/>
      <w:pBdr>
        <w:top w:val="single" w:color="auto" w:sz="4" w:space="0"/>
        <w:left w:val="single" w:color="auto" w:sz="4" w:space="0"/>
        <w:right w:val="single" w:color="auto" w:sz="4" w:space="0"/>
      </w:pBdr>
    </w:pPr>
    <w:rPr>
      <w:b/>
      <w:bCs/>
      <w:sz w:val="22"/>
      <w:szCs w:val="22"/>
    </w:rPr>
  </w:style>
  <w:style w:type="paragraph" w:styleId="1172" w:customStyle="1">
    <w:name w:val="xl75"/>
    <w:basedOn w:val="894"/>
    <w:pPr>
      <w:spacing w:before="100" w:beforeAutospacing="1" w:after="100" w:afterAutospacing="1"/>
      <w:pBdr>
        <w:top w:val="single" w:color="auto" w:sz="4" w:space="0"/>
        <w:left w:val="single" w:color="auto" w:sz="4" w:space="0"/>
        <w:bottom w:val="single" w:color="auto" w:sz="4" w:space="0"/>
        <w:right w:val="single" w:color="auto" w:sz="4" w:space="0"/>
      </w:pBdr>
    </w:pPr>
    <w:rPr>
      <w:sz w:val="22"/>
      <w:szCs w:val="22"/>
    </w:rPr>
  </w:style>
  <w:style w:type="paragraph" w:styleId="1173" w:customStyle="1">
    <w:name w:val="xl76"/>
    <w:basedOn w:val="894"/>
    <w:pPr>
      <w:spacing w:before="100" w:beforeAutospacing="1" w:after="100" w:afterAutospacing="1"/>
      <w:shd w:val="clear" w:color="000000" w:fill="ffff00"/>
      <w:pBdr>
        <w:top w:val="single" w:color="auto" w:sz="4" w:space="0"/>
        <w:left w:val="single" w:color="auto" w:sz="4" w:space="0"/>
        <w:bottom w:val="single" w:color="auto" w:sz="4" w:space="0"/>
        <w:right w:val="single" w:color="auto" w:sz="4" w:space="0"/>
      </w:pBdr>
    </w:pPr>
    <w:rPr>
      <w:b/>
      <w:bCs/>
      <w:sz w:val="22"/>
      <w:szCs w:val="22"/>
    </w:rPr>
  </w:style>
  <w:style w:type="paragraph" w:styleId="1174" w:customStyle="1">
    <w:name w:val="xl77"/>
    <w:basedOn w:val="894"/>
    <w:pPr>
      <w:jc w:val="center"/>
      <w:spacing w:before="100" w:beforeAutospacing="1" w:after="100" w:afterAutospacing="1"/>
      <w:pBdr>
        <w:top w:val="single" w:color="auto" w:sz="4" w:space="0"/>
        <w:left w:val="single" w:color="auto" w:sz="4" w:space="0"/>
        <w:bottom w:val="single" w:color="auto" w:sz="4" w:space="0"/>
        <w:right w:val="single" w:color="auto" w:sz="4" w:space="0"/>
      </w:pBdr>
    </w:pPr>
    <w:rPr>
      <w:color w:val="ff0000"/>
      <w:sz w:val="22"/>
      <w:szCs w:val="22"/>
    </w:rPr>
  </w:style>
  <w:style w:type="paragraph" w:styleId="1175" w:customStyle="1">
    <w:name w:val="xl78"/>
    <w:basedOn w:val="894"/>
    <w:pPr>
      <w:jc w:val="center"/>
      <w:spacing w:before="100" w:beforeAutospacing="1" w:after="100" w:afterAutospacing="1"/>
      <w:shd w:val="clear" w:color="000000" w:fill="ffff00"/>
    </w:pPr>
  </w:style>
  <w:style w:type="paragraph" w:styleId="1176" w:customStyle="1">
    <w:name w:val="xl79"/>
    <w:basedOn w:val="894"/>
    <w:pPr>
      <w:jc w:val="center"/>
      <w:spacing w:before="100" w:beforeAutospacing="1" w:after="100" w:afterAutospacing="1"/>
      <w:pBdr>
        <w:top w:val="single" w:color="auto" w:sz="4" w:space="0"/>
        <w:left w:val="single" w:color="auto" w:sz="4" w:space="0"/>
        <w:bottom w:val="single" w:color="auto" w:sz="4" w:space="0"/>
        <w:right w:val="single" w:color="auto" w:sz="4" w:space="0"/>
      </w:pBdr>
    </w:pPr>
    <w:rPr>
      <w:sz w:val="22"/>
      <w:szCs w:val="22"/>
    </w:rPr>
  </w:style>
  <w:style w:type="paragraph" w:styleId="1177" w:customStyle="1">
    <w:name w:val="xl80"/>
    <w:basedOn w:val="894"/>
    <w:pPr>
      <w:jc w:val="center"/>
      <w:spacing w:before="100" w:beforeAutospacing="1" w:after="100" w:afterAutospacing="1"/>
    </w:pPr>
  </w:style>
  <w:style w:type="paragraph" w:styleId="1178" w:customStyle="1">
    <w:name w:val="xl81"/>
    <w:basedOn w:val="894"/>
    <w:pPr>
      <w:spacing w:before="100" w:beforeAutospacing="1" w:after="100" w:afterAutospacing="1"/>
    </w:pPr>
  </w:style>
  <w:style w:type="paragraph" w:styleId="1179" w:customStyle="1">
    <w:name w:val="xl82"/>
    <w:basedOn w:val="894"/>
    <w:pPr>
      <w:jc w:val="center"/>
      <w:spacing w:before="100" w:beforeAutospacing="1" w:after="100" w:afterAutospacing="1"/>
      <w:shd w:val="clear" w:color="000000" w:fill="ffc000"/>
      <w:pBdr>
        <w:top w:val="single" w:color="auto" w:sz="4" w:space="0"/>
        <w:left w:val="single" w:color="auto" w:sz="4" w:space="0"/>
        <w:bottom w:val="single" w:color="auto" w:sz="4" w:space="0"/>
        <w:right w:val="single" w:color="auto" w:sz="4" w:space="0"/>
      </w:pBdr>
    </w:pPr>
    <w:rPr>
      <w:color w:val="ff0000"/>
      <w:sz w:val="22"/>
      <w:szCs w:val="22"/>
    </w:rPr>
  </w:style>
  <w:style w:type="paragraph" w:styleId="1180" w:customStyle="1">
    <w:name w:val="xl83"/>
    <w:basedOn w:val="894"/>
    <w:pPr>
      <w:jc w:val="center"/>
      <w:spacing w:before="100" w:beforeAutospacing="1" w:after="100" w:afterAutospacing="1"/>
    </w:pPr>
  </w:style>
  <w:style w:type="paragraph" w:styleId="1181" w:customStyle="1">
    <w:name w:val="xl84"/>
    <w:basedOn w:val="894"/>
    <w:pPr>
      <w:spacing w:before="100" w:beforeAutospacing="1" w:after="100" w:afterAutospacing="1"/>
    </w:pPr>
  </w:style>
  <w:style w:type="paragraph" w:styleId="1182" w:customStyle="1">
    <w:name w:val="xl85"/>
    <w:basedOn w:val="894"/>
    <w:pPr>
      <w:jc w:val="center"/>
      <w:spacing w:before="100" w:beforeAutospacing="1" w:after="100" w:afterAutospacing="1"/>
      <w:shd w:val="clear" w:color="000000" w:fill="ffc000"/>
      <w:pBdr>
        <w:top w:val="single" w:color="auto" w:sz="4" w:space="0"/>
        <w:left w:val="single" w:color="auto" w:sz="4" w:space="0"/>
        <w:bottom w:val="single" w:color="auto" w:sz="4" w:space="0"/>
        <w:right w:val="single" w:color="auto" w:sz="4" w:space="0"/>
      </w:pBdr>
    </w:pPr>
    <w:rPr>
      <w:color w:val="ff0000"/>
      <w:sz w:val="22"/>
      <w:szCs w:val="22"/>
    </w:rPr>
  </w:style>
  <w:style w:type="table" w:styleId="1183">
    <w:name w:val="Plain Table 1"/>
    <w:basedOn w:val="905"/>
    <w:uiPriority w:val="59"/>
    <w:rPr>
      <w:rFonts w:asciiTheme="minorHAnsi" w:hAnsiTheme="minorHAnsi" w:eastAsiaTheme="minorEastAsia" w:cstheme="minorBidi"/>
    </w:rPr>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paragraph" w:styleId="1184">
    <w:name w:val="Subtitle"/>
    <w:basedOn w:val="894"/>
    <w:next w:val="894"/>
    <w:link w:val="1185"/>
    <w:uiPriority w:val="11"/>
    <w:qFormat/>
    <w:pPr>
      <w:numPr>
        <w:ilvl w:val="1"/>
      </w:numPr>
      <w:jc w:val="center"/>
      <w:spacing w:after="160" w:line="278" w:lineRule="auto"/>
      <w:widowControl w:val="off"/>
    </w:pPr>
    <w:rPr>
      <w:rFonts w:asciiTheme="majorHAnsi" w:hAnsiTheme="majorHAnsi" w:eastAsiaTheme="majorEastAsia" w:cstheme="majorBidi"/>
      <w:color w:val="595959" w:themeColor="text1" w:themeTint="A6"/>
      <w:spacing w:val="15"/>
      <w:sz w:val="28"/>
      <w:szCs w:val="28"/>
      <w14:ligatures w14:val="standardContextual"/>
    </w:rPr>
  </w:style>
  <w:style w:type="character" w:styleId="1185" w:customStyle="1">
    <w:name w:val="副标题 字符"/>
    <w:basedOn w:val="904"/>
    <w:link w:val="1184"/>
    <w:uiPriority w:val="11"/>
    <w:rPr>
      <w:rFonts w:asciiTheme="majorHAnsi" w:hAnsiTheme="majorHAnsi" w:eastAsiaTheme="majorEastAsia" w:cstheme="majorBidi"/>
      <w:color w:val="595959" w:themeColor="text1" w:themeTint="A6"/>
      <w:spacing w:val="15"/>
      <w:sz w:val="28"/>
      <w:szCs w:val="28"/>
      <w14:ligatures w14:val="standardContextual"/>
    </w:rPr>
  </w:style>
  <w:style w:type="paragraph" w:styleId="1186">
    <w:name w:val="Quote"/>
    <w:basedOn w:val="894"/>
    <w:next w:val="894"/>
    <w:link w:val="1187"/>
    <w:uiPriority w:val="29"/>
    <w:qFormat/>
    <w:pPr>
      <w:jc w:val="center"/>
      <w:spacing w:before="160" w:after="160" w:line="278" w:lineRule="auto"/>
      <w:widowControl w:val="off"/>
    </w:pPr>
    <w:rPr>
      <w:rFonts w:asciiTheme="minorHAnsi" w:hAnsiTheme="minorHAnsi" w:eastAsiaTheme="minorEastAsia" w:cstheme="minorBidi"/>
      <w:i/>
      <w:iCs/>
      <w:color w:val="404040" w:themeColor="text1" w:themeTint="BF"/>
      <w:sz w:val="22"/>
      <w14:ligatures w14:val="standardContextual"/>
    </w:rPr>
  </w:style>
  <w:style w:type="character" w:styleId="1187" w:customStyle="1">
    <w:name w:val="引用 字符"/>
    <w:basedOn w:val="904"/>
    <w:link w:val="1186"/>
    <w:uiPriority w:val="29"/>
    <w:rPr>
      <w:rFonts w:asciiTheme="minorHAnsi" w:hAnsiTheme="minorHAnsi" w:eastAsiaTheme="minorEastAsia" w:cstheme="minorBidi"/>
      <w:i/>
      <w:iCs/>
      <w:color w:val="404040" w:themeColor="text1" w:themeTint="BF"/>
      <w:sz w:val="22"/>
      <w:szCs w:val="24"/>
      <w14:ligatures w14:val="standardContextual"/>
    </w:rPr>
  </w:style>
  <w:style w:type="paragraph" w:styleId="1188">
    <w:name w:val="List Paragraph"/>
    <w:basedOn w:val="894"/>
    <w:uiPriority w:val="34"/>
    <w:qFormat/>
    <w:pPr>
      <w:contextualSpacing/>
      <w:ind w:left="720"/>
      <w:spacing w:after="160" w:line="278" w:lineRule="auto"/>
      <w:widowControl w:val="off"/>
    </w:pPr>
    <w:rPr>
      <w:rFonts w:asciiTheme="minorHAnsi" w:hAnsiTheme="minorHAnsi" w:eastAsiaTheme="minorEastAsia" w:cstheme="minorBidi"/>
      <w:sz w:val="22"/>
      <w14:ligatures w14:val="standardContextual"/>
    </w:rPr>
  </w:style>
  <w:style w:type="character" w:styleId="1189">
    <w:name w:val="Intense Emphasis"/>
    <w:basedOn w:val="904"/>
    <w:uiPriority w:val="21"/>
    <w:qFormat/>
    <w:rPr>
      <w:i/>
      <w:iCs/>
      <w:color w:val="2f5496" w:themeColor="accent1" w:themeShade="BF"/>
    </w:rPr>
  </w:style>
  <w:style w:type="paragraph" w:styleId="1190">
    <w:name w:val="Intense Quote"/>
    <w:basedOn w:val="894"/>
    <w:next w:val="894"/>
    <w:link w:val="1191"/>
    <w:uiPriority w:val="30"/>
    <w:qFormat/>
    <w:pPr>
      <w:ind w:left="864" w:right="864"/>
      <w:jc w:val="center"/>
      <w:spacing w:before="360" w:after="360" w:line="278" w:lineRule="auto"/>
      <w:widowControl w:val="off"/>
      <w:pBdr>
        <w:top w:val="single" w:color="2F5496" w:themeColor="accent1" w:themeShade="BF" w:sz="4" w:space="10"/>
        <w:bottom w:val="single" w:color="2F5496" w:themeColor="accent1" w:themeShade="BF" w:sz="4" w:space="10"/>
      </w:pBdr>
    </w:pPr>
    <w:rPr>
      <w:rFonts w:asciiTheme="minorHAnsi" w:hAnsiTheme="minorHAnsi" w:eastAsiaTheme="minorEastAsia" w:cstheme="minorBidi"/>
      <w:i/>
      <w:iCs/>
      <w:color w:val="2f5496" w:themeColor="accent1" w:themeShade="BF"/>
      <w:sz w:val="22"/>
      <w14:ligatures w14:val="standardContextual"/>
    </w:rPr>
  </w:style>
  <w:style w:type="character" w:styleId="1191" w:customStyle="1">
    <w:name w:val="明显引用 字符"/>
    <w:basedOn w:val="904"/>
    <w:link w:val="1190"/>
    <w:uiPriority w:val="30"/>
    <w:rPr>
      <w:rFonts w:asciiTheme="minorHAnsi" w:hAnsiTheme="minorHAnsi" w:eastAsiaTheme="minorEastAsia" w:cstheme="minorBidi"/>
      <w:i/>
      <w:iCs/>
      <w:color w:val="2f5496" w:themeColor="accent1" w:themeShade="BF"/>
      <w:sz w:val="22"/>
      <w:szCs w:val="24"/>
      <w14:ligatures w14:val="standardContextual"/>
    </w:rPr>
  </w:style>
  <w:style w:type="character" w:styleId="1192">
    <w:name w:val="Intense Reference"/>
    <w:basedOn w:val="904"/>
    <w:uiPriority w:val="32"/>
    <w:qFormat/>
    <w:rPr>
      <w:b/>
      <w:bCs/>
      <w:smallCaps/>
      <w:color w:val="2f5496" w:themeColor="accent1" w:themeShade="BF"/>
      <w:spacing w:val="5"/>
    </w:rPr>
  </w:style>
  <w:style w:type="paragraph" w:styleId="1193" w:customStyle="1">
    <w:name w:val="font10"/>
    <w:basedOn w:val="894"/>
    <w:pPr>
      <w:spacing w:before="100" w:beforeAutospacing="1" w:after="100" w:afterAutospacing="1"/>
    </w:pPr>
    <w:rPr>
      <w:sz w:val="22"/>
      <w:szCs w:val="22"/>
    </w:rPr>
  </w:style>
  <w:style w:type="paragraph" w:styleId="1194" w:customStyle="1">
    <w:name w:val="font11"/>
    <w:basedOn w:val="894"/>
    <w:pPr>
      <w:spacing w:before="100" w:beforeAutospacing="1" w:after="100" w:afterAutospacing="1"/>
    </w:pPr>
    <w:rPr>
      <w:rFonts w:ascii="Calibri" w:hAnsi="Calibri" w:cs="Calibri"/>
      <w:sz w:val="22"/>
      <w:szCs w:val="22"/>
    </w:rPr>
  </w:style>
  <w:style w:type="paragraph" w:styleId="1195" w:customStyle="1">
    <w:name w:val="font12"/>
    <w:basedOn w:val="894"/>
    <w:pPr>
      <w:spacing w:before="100" w:beforeAutospacing="1" w:after="100" w:afterAutospacing="1"/>
    </w:pPr>
    <w:rPr>
      <w:rFonts w:ascii="Calibri" w:hAnsi="Calibri" w:cs="Calibri"/>
      <w:sz w:val="22"/>
      <w:szCs w:val="22"/>
    </w:rPr>
  </w:style>
  <w:style w:type="paragraph" w:styleId="1196" w:customStyle="1">
    <w:name w:val="font13"/>
    <w:basedOn w:val="894"/>
    <w:pPr>
      <w:spacing w:before="100" w:beforeAutospacing="1" w:after="100" w:afterAutospacing="1"/>
    </w:pPr>
    <w:rPr>
      <w:rFonts w:ascii="Calibri" w:hAnsi="Calibri" w:cs="Calibri"/>
      <w:sz w:val="22"/>
      <w:szCs w:val="22"/>
    </w:rPr>
  </w:style>
  <w:style w:type="paragraph" w:styleId="1197" w:customStyle="1">
    <w:name w:val="font14"/>
    <w:basedOn w:val="894"/>
    <w:pPr>
      <w:spacing w:before="100" w:beforeAutospacing="1" w:after="100" w:afterAutospacing="1"/>
    </w:pPr>
    <w:rPr>
      <w:rFonts w:ascii="Calibri" w:hAnsi="Calibri" w:cs="Calibri"/>
      <w:sz w:val="20"/>
      <w:szCs w:val="20"/>
    </w:rPr>
  </w:style>
  <w:style w:type="paragraph" w:styleId="1198" w:customStyle="1">
    <w:name w:val="font15"/>
    <w:basedOn w:val="894"/>
    <w:pPr>
      <w:spacing w:before="100" w:beforeAutospacing="1" w:after="100" w:afterAutospacing="1"/>
    </w:pPr>
    <w:rPr>
      <w:rFonts w:ascii="Calibri" w:hAnsi="Calibri" w:cs="Calibri"/>
      <w:sz w:val="20"/>
      <w:szCs w:val="20"/>
    </w:rPr>
  </w:style>
  <w:style w:type="paragraph" w:styleId="1199" w:customStyle="1">
    <w:name w:val="font16"/>
    <w:basedOn w:val="894"/>
    <w:pPr>
      <w:spacing w:before="100" w:beforeAutospacing="1" w:after="100" w:afterAutospacing="1"/>
    </w:pPr>
    <w:rPr>
      <w:color w:val="ff0000"/>
      <w:sz w:val="22"/>
      <w:szCs w:val="22"/>
    </w:rPr>
  </w:style>
  <w:style w:type="paragraph" w:styleId="1200" w:customStyle="1">
    <w:name w:val="font17"/>
    <w:basedOn w:val="894"/>
    <w:pPr>
      <w:spacing w:before="100" w:beforeAutospacing="1" w:after="100" w:afterAutospacing="1"/>
    </w:pPr>
    <w:rPr>
      <w:rFonts w:ascii="Calibri" w:hAnsi="Calibri" w:cs="Calibri"/>
      <w:color w:val="ff0000"/>
      <w:sz w:val="22"/>
      <w:szCs w:val="22"/>
    </w:rPr>
  </w:style>
  <w:style w:type="paragraph" w:styleId="1201" w:customStyle="1">
    <w:name w:val="font18"/>
    <w:basedOn w:val="894"/>
    <w:pPr>
      <w:spacing w:before="100" w:beforeAutospacing="1" w:after="100" w:afterAutospacing="1"/>
    </w:pPr>
    <w:rPr>
      <w:color w:val="ff0000"/>
      <w:sz w:val="20"/>
      <w:szCs w:val="20"/>
    </w:rPr>
  </w:style>
  <w:style w:type="paragraph" w:styleId="1202" w:customStyle="1">
    <w:name w:val="font19"/>
    <w:basedOn w:val="894"/>
    <w:pPr>
      <w:spacing w:before="100" w:beforeAutospacing="1" w:after="100" w:afterAutospacing="1"/>
    </w:pPr>
    <w:rPr>
      <w:color w:val="c00000"/>
      <w:sz w:val="22"/>
      <w:szCs w:val="22"/>
    </w:rPr>
  </w:style>
  <w:style w:type="paragraph" w:styleId="1203" w:customStyle="1">
    <w:name w:val="font20"/>
    <w:basedOn w:val="894"/>
    <w:pPr>
      <w:spacing w:before="100" w:beforeAutospacing="1" w:after="100" w:afterAutospacing="1"/>
    </w:pPr>
    <w:rPr>
      <w:rFonts w:ascii="Calibri" w:hAnsi="Calibri" w:cs="Calibri"/>
      <w:color w:val="c00000"/>
      <w:sz w:val="22"/>
      <w:szCs w:val="22"/>
    </w:rPr>
  </w:style>
  <w:style w:type="paragraph" w:styleId="1204" w:customStyle="1">
    <w:name w:val="font21"/>
    <w:basedOn w:val="894"/>
    <w:pPr>
      <w:spacing w:before="100" w:beforeAutospacing="1" w:after="100" w:afterAutospacing="1"/>
    </w:pPr>
    <w:rPr>
      <w:color w:val="c00000"/>
      <w:sz w:val="20"/>
      <w:szCs w:val="20"/>
    </w:rPr>
  </w:style>
  <w:style w:type="paragraph" w:styleId="1205" w:customStyle="1">
    <w:name w:val="font22"/>
    <w:basedOn w:val="894"/>
    <w:pPr>
      <w:spacing w:before="100" w:beforeAutospacing="1" w:after="100" w:afterAutospacing="1"/>
    </w:pPr>
    <w:rPr>
      <w:color w:val="0b3040"/>
      <w:sz w:val="22"/>
      <w:szCs w:val="22"/>
    </w:rPr>
  </w:style>
  <w:style w:type="paragraph" w:styleId="1206" w:customStyle="1">
    <w:name w:val="font23"/>
    <w:basedOn w:val="894"/>
    <w:pPr>
      <w:spacing w:before="100" w:beforeAutospacing="1" w:after="100" w:afterAutospacing="1"/>
    </w:pPr>
    <w:rPr>
      <w:color w:val="47d359"/>
      <w:sz w:val="22"/>
      <w:szCs w:val="22"/>
    </w:rPr>
  </w:style>
  <w:style w:type="paragraph" w:styleId="1207" w:customStyle="1">
    <w:name w:val="font24"/>
    <w:basedOn w:val="894"/>
    <w:pPr>
      <w:spacing w:before="100" w:beforeAutospacing="1" w:after="100" w:afterAutospacing="1"/>
    </w:pPr>
    <w:rPr>
      <w:rFonts w:ascii="Calibri" w:hAnsi="Calibri" w:cs="Calibri"/>
      <w:color w:val="c00000"/>
      <w:sz w:val="22"/>
      <w:szCs w:val="22"/>
    </w:rPr>
  </w:style>
  <w:style w:type="paragraph" w:styleId="1208" w:customStyle="1">
    <w:name w:val="xl86"/>
    <w:basedOn w:val="894"/>
    <w:pPr>
      <w:spacing w:before="100" w:beforeAutospacing="1" w:after="100" w:afterAutospacing="1"/>
      <w:shd w:val="clear" w:color="000000" w:fill="daf2d0"/>
      <w:pBdr>
        <w:top w:val="single" w:color="auto" w:sz="4" w:space="0"/>
        <w:left w:val="single" w:color="auto" w:sz="4" w:space="0"/>
        <w:bottom w:val="single" w:color="auto" w:sz="4" w:space="0"/>
        <w:right w:val="single" w:color="auto" w:sz="4" w:space="0"/>
      </w:pBdr>
    </w:pPr>
  </w:style>
  <w:style w:type="paragraph" w:styleId="1209" w:customStyle="1">
    <w:name w:val="xl87"/>
    <w:basedOn w:val="894"/>
    <w:pPr>
      <w:jc w:val="center"/>
      <w:spacing w:before="100" w:beforeAutospacing="1" w:after="100" w:afterAutospacing="1"/>
      <w:shd w:val="clear" w:color="000000" w:fill="daf2d0"/>
      <w:pBdr>
        <w:top w:val="single" w:color="auto" w:sz="4" w:space="0"/>
        <w:left w:val="single" w:color="auto" w:sz="4" w:space="0"/>
        <w:bottom w:val="single" w:color="auto" w:sz="4" w:space="0"/>
        <w:right w:val="single" w:color="auto" w:sz="4" w:space="0"/>
      </w:pBdr>
    </w:pPr>
  </w:style>
  <w:style w:type="paragraph" w:styleId="1210" w:customStyle="1">
    <w:name w:val="xl88"/>
    <w:basedOn w:val="894"/>
    <w:pPr>
      <w:spacing w:before="100" w:beforeAutospacing="1" w:after="100" w:afterAutospacing="1"/>
      <w:shd w:val="clear" w:color="000000" w:fill="daf2d0"/>
    </w:pPr>
  </w:style>
  <w:style w:type="paragraph" w:styleId="1211" w:customStyle="1">
    <w:name w:val="xl89"/>
    <w:basedOn w:val="894"/>
    <w:pPr>
      <w:jc w:val="center"/>
      <w:spacing w:before="100" w:beforeAutospacing="1" w:after="100" w:afterAutospacing="1"/>
      <w:shd w:val="clear" w:color="000000" w:fill="daf2d0"/>
    </w:pPr>
  </w:style>
  <w:style w:type="paragraph" w:styleId="1212" w:customStyle="1">
    <w:name w:val="xl90"/>
    <w:basedOn w:val="894"/>
    <w:pPr>
      <w:spacing w:before="100" w:beforeAutospacing="1" w:after="100" w:afterAutospacing="1"/>
      <w:shd w:val="clear" w:color="000000" w:fill="daf2d0"/>
      <w:pBdr>
        <w:top w:val="single" w:color="auto" w:sz="4" w:space="0"/>
        <w:left w:val="single" w:color="auto" w:sz="4" w:space="0"/>
        <w:bottom w:val="single" w:color="auto" w:sz="4" w:space="0"/>
        <w:right w:val="single" w:color="auto" w:sz="4" w:space="0"/>
      </w:pBdr>
    </w:pPr>
    <w:rPr>
      <w:color w:val="ff0000"/>
    </w:rPr>
  </w:style>
  <w:style w:type="paragraph" w:styleId="1213" w:customStyle="1">
    <w:name w:val="xl91"/>
    <w:basedOn w:val="894"/>
    <w:pPr>
      <w:spacing w:before="100" w:beforeAutospacing="1" w:after="100" w:afterAutospacing="1"/>
      <w:pBdr>
        <w:top w:val="single" w:color="auto" w:sz="4" w:space="0"/>
        <w:left w:val="single" w:color="auto" w:sz="4" w:space="0"/>
        <w:bottom w:val="single" w:color="auto" w:sz="4" w:space="0"/>
        <w:right w:val="single" w:color="auto" w:sz="4" w:space="0"/>
      </w:pBdr>
    </w:pPr>
    <w:rPr>
      <w:color w:val="ff0000"/>
      <w:sz w:val="20"/>
      <w:szCs w:val="20"/>
    </w:rPr>
  </w:style>
  <w:style w:type="paragraph" w:styleId="1214" w:customStyle="1">
    <w:name w:val="xl92"/>
    <w:basedOn w:val="894"/>
    <w:pPr>
      <w:spacing w:before="100" w:beforeAutospacing="1" w:after="100" w:afterAutospacing="1"/>
      <w:pBdr>
        <w:top w:val="single" w:color="auto" w:sz="4" w:space="0"/>
        <w:left w:val="single" w:color="auto" w:sz="4" w:space="0"/>
        <w:bottom w:val="single" w:color="auto" w:sz="4" w:space="0"/>
        <w:right w:val="single" w:color="auto" w:sz="4" w:space="0"/>
      </w:pBdr>
    </w:pPr>
    <w:rPr>
      <w:color w:val="ff0000"/>
    </w:rPr>
  </w:style>
  <w:style w:type="paragraph" w:styleId="1215" w:customStyle="1">
    <w:name w:val="xl93"/>
    <w:basedOn w:val="894"/>
    <w:pPr>
      <w:spacing w:before="100" w:beforeAutospacing="1" w:after="100" w:afterAutospacing="1"/>
      <w:pBdr>
        <w:top w:val="single" w:color="auto" w:sz="4" w:space="0"/>
        <w:left w:val="single" w:color="auto" w:sz="4" w:space="0"/>
        <w:bottom w:val="single" w:color="auto" w:sz="4" w:space="0"/>
        <w:right w:val="single" w:color="auto" w:sz="4" w:space="0"/>
      </w:pBdr>
    </w:pPr>
    <w:rPr>
      <w:color w:val="ff0000"/>
      <w:sz w:val="20"/>
      <w:szCs w:val="20"/>
    </w:rPr>
  </w:style>
  <w:style w:type="paragraph" w:styleId="1216" w:customStyle="1">
    <w:name w:val="xl94"/>
    <w:basedOn w:val="894"/>
    <w:pPr>
      <w:jc w:val="center"/>
      <w:spacing w:before="100" w:beforeAutospacing="1" w:after="100" w:afterAutospacing="1"/>
      <w:shd w:val="clear" w:color="000000" w:fill="ffff00"/>
      <w:pBdr>
        <w:top w:val="single" w:color="auto" w:sz="4" w:space="0"/>
        <w:left w:val="single" w:color="auto" w:sz="4" w:space="0"/>
        <w:bottom w:val="single" w:color="auto" w:sz="4" w:space="0"/>
        <w:right w:val="single" w:color="auto" w:sz="4" w:space="0"/>
      </w:pBdr>
    </w:pPr>
    <w:rPr>
      <w:sz w:val="20"/>
      <w:szCs w:val="20"/>
    </w:rPr>
  </w:style>
  <w:style w:type="paragraph" w:styleId="1217" w:customStyle="1">
    <w:name w:val="xl95"/>
    <w:basedOn w:val="894"/>
    <w:pPr>
      <w:jc w:val="center"/>
      <w:spacing w:before="100" w:beforeAutospacing="1" w:after="100" w:afterAutospacing="1"/>
      <w:shd w:val="clear" w:color="000000" w:fill="ffff00"/>
      <w:pBdr>
        <w:top w:val="single" w:color="auto" w:sz="4" w:space="0"/>
        <w:left w:val="single" w:color="auto" w:sz="4" w:space="0"/>
        <w:bottom w:val="single" w:color="auto" w:sz="4" w:space="0"/>
        <w:right w:val="single" w:color="auto" w:sz="4" w:space="0"/>
      </w:pBdr>
    </w:pPr>
    <w:rPr>
      <w:sz w:val="20"/>
      <w:szCs w:val="20"/>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customXml" Target="../customXml/item1.xml" /><Relationship Id="rId22"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 Id="rId1" Type="http://schemas.openxmlformats.org/officeDocument/2006/relationships/image" Target="media/image1.png"/></Relationships>
</file>

<file path=word/_rels/header5.xml.rels><?xml version="1.0" encoding="UTF-8" standalone="yes"?><Relationships xmlns="http://schemas.openxmlformats.org/package/2006/relationships"><Relationship Id="rId1" Type="http://schemas.openxmlformats.org/officeDocument/2006/relationships/image" Target="media/image1.png"/></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E0B1FD-DFC5-472E-8ECE-F77C145E50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subject/>
  <dc:creator>尹皓</dc:creator>
  <cp:keywords/>
  <dc:description/>
  <cp:lastModifiedBy>钱洁</cp:lastModifiedBy>
  <cp:revision>11</cp:revision>
  <dcterms:created xsi:type="dcterms:W3CDTF">2026-01-26T06:20:00Z</dcterms:created>
  <dcterms:modified xsi:type="dcterms:W3CDTF">2026-01-27T07:13:21Z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2052-11.1.0.11744</vt:lpwstr>
  </property>
  <property fmtid="{D5CDD505-2E9C-101B-9397-08002B2CF9AE}" pid="3" name="ICV">
    <vt:lpwstr>DC16D8C2780A464A98323DBAC525C01E</vt:lpwstr>
  </property>
</Properties>
</file>